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C290" w14:textId="45FCC267" w:rsidR="00A62B83" w:rsidRPr="00BE2002" w:rsidRDefault="005E14DB" w:rsidP="003F0223">
      <w:pPr>
        <w:pStyle w:val="Default"/>
        <w:jc w:val="center"/>
        <w:rPr>
          <w:b/>
          <w:color w:val="5A0066"/>
          <w:sz w:val="32"/>
          <w:szCs w:val="32"/>
        </w:rPr>
      </w:pPr>
      <w:bookmarkStart w:id="0" w:name="_Hlk177664814"/>
      <w:r w:rsidRPr="00BE2002">
        <w:rPr>
          <w:b/>
          <w:color w:val="5A0066"/>
          <w:sz w:val="32"/>
          <w:szCs w:val="32"/>
        </w:rPr>
        <w:t xml:space="preserve">Procurement </w:t>
      </w:r>
      <w:r w:rsidR="00FB3B6D" w:rsidRPr="00BE2002">
        <w:rPr>
          <w:b/>
          <w:color w:val="5A0066"/>
          <w:sz w:val="32"/>
          <w:szCs w:val="32"/>
        </w:rPr>
        <w:t>Act 202</w:t>
      </w:r>
      <w:r w:rsidR="00DE0B7E" w:rsidRPr="00BE2002">
        <w:rPr>
          <w:b/>
          <w:color w:val="5A0066"/>
          <w:sz w:val="32"/>
          <w:szCs w:val="32"/>
        </w:rPr>
        <w:t>3</w:t>
      </w:r>
      <w:r w:rsidR="00FB3B6D" w:rsidRPr="00BE2002">
        <w:rPr>
          <w:b/>
          <w:color w:val="5A0066"/>
          <w:sz w:val="32"/>
          <w:szCs w:val="32"/>
        </w:rPr>
        <w:t xml:space="preserve"> </w:t>
      </w:r>
      <w:r w:rsidR="00996DC1">
        <w:rPr>
          <w:b/>
          <w:color w:val="5A0066"/>
          <w:sz w:val="32"/>
          <w:szCs w:val="32"/>
        </w:rPr>
        <w:br/>
      </w:r>
      <w:r w:rsidRPr="00BE2002">
        <w:rPr>
          <w:b/>
          <w:color w:val="5A0066"/>
          <w:sz w:val="32"/>
          <w:szCs w:val="32"/>
        </w:rPr>
        <w:t>Timescale T</w:t>
      </w:r>
      <w:r w:rsidR="00A62B83" w:rsidRPr="00BE2002">
        <w:rPr>
          <w:b/>
          <w:color w:val="5A0066"/>
          <w:sz w:val="32"/>
          <w:szCs w:val="32"/>
        </w:rPr>
        <w:t xml:space="preserve">racker </w:t>
      </w:r>
    </w:p>
    <w:p w14:paraId="309FD0B3" w14:textId="77777777" w:rsidR="00A62B83" w:rsidRPr="00D61CCB" w:rsidRDefault="00A62B83" w:rsidP="00A62B83">
      <w:pPr>
        <w:pStyle w:val="Default"/>
        <w:rPr>
          <w:sz w:val="28"/>
          <w:szCs w:val="28"/>
        </w:rPr>
      </w:pPr>
    </w:p>
    <w:p w14:paraId="03209C3E" w14:textId="289792BD" w:rsidR="00D61CCB" w:rsidRPr="00D61CCB" w:rsidRDefault="00D61CCB" w:rsidP="003F0223">
      <w:pPr>
        <w:pStyle w:val="Default"/>
        <w:jc w:val="both"/>
      </w:pPr>
    </w:p>
    <w:p w14:paraId="2164F519" w14:textId="77777777" w:rsidR="00D61CCB" w:rsidRPr="00D61CCB" w:rsidRDefault="00D61CCB" w:rsidP="003F0223">
      <w:pPr>
        <w:pStyle w:val="Default"/>
        <w:jc w:val="both"/>
      </w:pPr>
    </w:p>
    <w:p w14:paraId="7E163A51" w14:textId="2ACF20E7" w:rsidR="00A62B83" w:rsidRPr="00BE2002" w:rsidRDefault="00A62B83" w:rsidP="003F0223">
      <w:pPr>
        <w:pStyle w:val="Default"/>
        <w:jc w:val="both"/>
        <w:rPr>
          <w:sz w:val="22"/>
          <w:szCs w:val="22"/>
        </w:rPr>
      </w:pPr>
      <w:r w:rsidRPr="00BE2002">
        <w:rPr>
          <w:sz w:val="22"/>
          <w:szCs w:val="22"/>
        </w:rPr>
        <w:t xml:space="preserve">This document sets out key timescales relating to the </w:t>
      </w:r>
      <w:r w:rsidR="00F554C9" w:rsidRPr="00BE2002">
        <w:rPr>
          <w:sz w:val="22"/>
          <w:szCs w:val="22"/>
        </w:rPr>
        <w:t>competitive tendering</w:t>
      </w:r>
      <w:r w:rsidRPr="00BE2002">
        <w:rPr>
          <w:sz w:val="22"/>
          <w:szCs w:val="22"/>
        </w:rPr>
        <w:t xml:space="preserve"> procedures under the </w:t>
      </w:r>
      <w:r w:rsidR="00FB3B6D" w:rsidRPr="00BE2002">
        <w:rPr>
          <w:sz w:val="22"/>
          <w:szCs w:val="22"/>
        </w:rPr>
        <w:t>Procurement Act 2023</w:t>
      </w:r>
      <w:r w:rsidRPr="00BE2002">
        <w:rPr>
          <w:sz w:val="22"/>
          <w:szCs w:val="22"/>
        </w:rPr>
        <w:t xml:space="preserve">. Please note that it </w:t>
      </w:r>
      <w:r w:rsidRPr="00BE2002">
        <w:rPr>
          <w:b/>
          <w:bCs/>
          <w:sz w:val="22"/>
          <w:szCs w:val="22"/>
        </w:rPr>
        <w:t xml:space="preserve">is only applicable for procurements that </w:t>
      </w:r>
      <w:r w:rsidR="00FB3B6D" w:rsidRPr="00BE2002">
        <w:rPr>
          <w:b/>
          <w:bCs/>
          <w:sz w:val="22"/>
          <w:szCs w:val="22"/>
        </w:rPr>
        <w:t xml:space="preserve">are </w:t>
      </w:r>
      <w:r w:rsidRPr="00BE2002">
        <w:rPr>
          <w:b/>
          <w:bCs/>
          <w:sz w:val="22"/>
          <w:szCs w:val="22"/>
        </w:rPr>
        <w:t xml:space="preserve">commenced on or after </w:t>
      </w:r>
      <w:r w:rsidR="00D61CCB" w:rsidRPr="00BE2002">
        <w:rPr>
          <w:b/>
          <w:bCs/>
          <w:sz w:val="22"/>
          <w:szCs w:val="22"/>
        </w:rPr>
        <w:t>24 February 2025</w:t>
      </w:r>
      <w:r w:rsidRPr="00BE2002">
        <w:rPr>
          <w:sz w:val="22"/>
          <w:szCs w:val="22"/>
        </w:rPr>
        <w:t xml:space="preserve">; for procurements commenced </w:t>
      </w:r>
      <w:r w:rsidRPr="00BE2002">
        <w:rPr>
          <w:b/>
          <w:bCs/>
          <w:sz w:val="22"/>
          <w:szCs w:val="22"/>
        </w:rPr>
        <w:t xml:space="preserve">before </w:t>
      </w:r>
      <w:r w:rsidR="00D61CCB" w:rsidRPr="00BE2002">
        <w:rPr>
          <w:b/>
          <w:bCs/>
          <w:sz w:val="22"/>
          <w:szCs w:val="22"/>
        </w:rPr>
        <w:t>24 February 2025</w:t>
      </w:r>
      <w:r w:rsidRPr="00BE2002">
        <w:rPr>
          <w:sz w:val="22"/>
          <w:szCs w:val="22"/>
        </w:rPr>
        <w:t xml:space="preserve">, the Public Contracts Regulations </w:t>
      </w:r>
      <w:r w:rsidR="00FB3B6D" w:rsidRPr="00BE2002">
        <w:rPr>
          <w:sz w:val="22"/>
          <w:szCs w:val="22"/>
        </w:rPr>
        <w:t xml:space="preserve">2015 </w:t>
      </w:r>
      <w:r w:rsidRPr="00BE2002">
        <w:rPr>
          <w:sz w:val="22"/>
          <w:szCs w:val="22"/>
        </w:rPr>
        <w:t>will instead apply</w:t>
      </w:r>
      <w:r w:rsidR="00FB3B6D" w:rsidRPr="00BE2002">
        <w:rPr>
          <w:sz w:val="22"/>
          <w:szCs w:val="22"/>
        </w:rPr>
        <w:t xml:space="preserve">. </w:t>
      </w:r>
    </w:p>
    <w:p w14:paraId="71A85A6C" w14:textId="77777777" w:rsidR="00DE0B7E" w:rsidRPr="00BE2002" w:rsidRDefault="00DE0B7E" w:rsidP="003F0223">
      <w:pPr>
        <w:pStyle w:val="Default"/>
        <w:jc w:val="both"/>
        <w:rPr>
          <w:sz w:val="22"/>
          <w:szCs w:val="22"/>
        </w:rPr>
      </w:pPr>
    </w:p>
    <w:p w14:paraId="211698F8" w14:textId="781CA4D8" w:rsidR="00D61CCB" w:rsidRPr="00BE2002" w:rsidRDefault="00A62B83" w:rsidP="003F0223">
      <w:pPr>
        <w:pStyle w:val="Default"/>
        <w:jc w:val="both"/>
        <w:rPr>
          <w:sz w:val="22"/>
          <w:szCs w:val="22"/>
        </w:rPr>
      </w:pPr>
      <w:r w:rsidRPr="00BE2002">
        <w:rPr>
          <w:sz w:val="22"/>
          <w:szCs w:val="22"/>
        </w:rPr>
        <w:t xml:space="preserve">The overriding requirement when setting timescales is to allow sufficient time for suppliers to prepare appropriate responses, taking account of the subject of the proposed contract, the contract award procedure to be used and the need, for example, for site visits. </w:t>
      </w:r>
    </w:p>
    <w:p w14:paraId="77B2294A" w14:textId="77777777" w:rsidR="00D61CCB" w:rsidRPr="00BE2002" w:rsidRDefault="00D61CCB" w:rsidP="003F0223">
      <w:pPr>
        <w:pStyle w:val="Default"/>
        <w:jc w:val="both"/>
        <w:rPr>
          <w:sz w:val="22"/>
          <w:szCs w:val="22"/>
        </w:rPr>
      </w:pPr>
    </w:p>
    <w:p w14:paraId="35C826B8" w14:textId="673D338D" w:rsidR="00A62B83" w:rsidRPr="00BE2002" w:rsidRDefault="00A62B83" w:rsidP="003F0223">
      <w:pPr>
        <w:pStyle w:val="Default"/>
        <w:jc w:val="both"/>
        <w:rPr>
          <w:sz w:val="22"/>
          <w:szCs w:val="22"/>
        </w:rPr>
      </w:pPr>
      <w:r w:rsidRPr="00BE2002">
        <w:rPr>
          <w:sz w:val="22"/>
          <w:szCs w:val="22"/>
        </w:rPr>
        <w:t xml:space="preserve">The table below sets out the minimum permitted timescales and the maximum permitted reductions. You must also take into consideration the general rules around setting of time limits that are set out at </w:t>
      </w:r>
      <w:hyperlink r:id="rId11" w:history="1">
        <w:r w:rsidR="00D61CCB" w:rsidRPr="00996DC1">
          <w:rPr>
            <w:rStyle w:val="Hyperlink"/>
            <w:sz w:val="22"/>
            <w:szCs w:val="22"/>
          </w:rPr>
          <w:t>section 54</w:t>
        </w:r>
      </w:hyperlink>
      <w:r w:rsidR="00FB3B6D" w:rsidRPr="00BE2002">
        <w:rPr>
          <w:sz w:val="22"/>
          <w:szCs w:val="22"/>
        </w:rPr>
        <w:t xml:space="preserve"> of </w:t>
      </w:r>
      <w:r w:rsidR="00D61CCB" w:rsidRPr="00BE2002">
        <w:rPr>
          <w:sz w:val="22"/>
          <w:szCs w:val="22"/>
        </w:rPr>
        <w:t xml:space="preserve">the </w:t>
      </w:r>
      <w:r w:rsidR="00FB3B6D" w:rsidRPr="00BE2002">
        <w:rPr>
          <w:sz w:val="22"/>
          <w:szCs w:val="22"/>
        </w:rPr>
        <w:t>Procurement Act 2023.</w:t>
      </w:r>
    </w:p>
    <w:p w14:paraId="02F9037D" w14:textId="3C4BF612" w:rsidR="00DE0B7E" w:rsidRPr="00BE2002" w:rsidRDefault="00DE0B7E" w:rsidP="003F0223">
      <w:pPr>
        <w:pStyle w:val="Default"/>
        <w:jc w:val="both"/>
        <w:rPr>
          <w:sz w:val="22"/>
          <w:szCs w:val="22"/>
        </w:rPr>
      </w:pPr>
    </w:p>
    <w:p w14:paraId="5A822CE5" w14:textId="3A6F8A95" w:rsidR="00A62B83" w:rsidRPr="00BE2002" w:rsidRDefault="00A62B83" w:rsidP="003F0223">
      <w:pPr>
        <w:pStyle w:val="Default"/>
        <w:jc w:val="both"/>
        <w:rPr>
          <w:sz w:val="22"/>
          <w:szCs w:val="22"/>
        </w:rPr>
      </w:pPr>
      <w:r w:rsidRPr="00BE2002">
        <w:rPr>
          <w:sz w:val="22"/>
          <w:szCs w:val="22"/>
        </w:rPr>
        <w:t xml:space="preserve">An appropriate </w:t>
      </w:r>
      <w:proofErr w:type="gramStart"/>
      <w:r w:rsidRPr="00BE2002">
        <w:rPr>
          <w:sz w:val="22"/>
          <w:szCs w:val="22"/>
        </w:rPr>
        <w:t>time period</w:t>
      </w:r>
      <w:proofErr w:type="gramEnd"/>
      <w:r w:rsidRPr="00BE2002">
        <w:rPr>
          <w:sz w:val="22"/>
          <w:szCs w:val="22"/>
        </w:rPr>
        <w:t xml:space="preserve"> will also need to be allocated for other aspects of the procurement process, e.g. evaluation of tender responses. </w:t>
      </w:r>
    </w:p>
    <w:p w14:paraId="615AC0FE" w14:textId="77777777" w:rsidR="00F554C9" w:rsidRPr="00BE2002" w:rsidRDefault="00F554C9" w:rsidP="003F0223">
      <w:pPr>
        <w:pStyle w:val="Default"/>
        <w:jc w:val="both"/>
        <w:rPr>
          <w:sz w:val="22"/>
          <w:szCs w:val="22"/>
        </w:rPr>
      </w:pPr>
    </w:p>
    <w:p w14:paraId="703168D6" w14:textId="1597015C" w:rsidR="00F554C9" w:rsidRPr="00BE2002" w:rsidRDefault="00F554C9" w:rsidP="003F0223">
      <w:pPr>
        <w:pStyle w:val="Default"/>
        <w:jc w:val="both"/>
        <w:rPr>
          <w:sz w:val="22"/>
          <w:szCs w:val="22"/>
        </w:rPr>
      </w:pPr>
      <w:r w:rsidRPr="00BE2002">
        <w:rPr>
          <w:sz w:val="22"/>
          <w:szCs w:val="22"/>
        </w:rPr>
        <w:t xml:space="preserve">The Cabinet Office has provided </w:t>
      </w:r>
      <w:r w:rsidR="00D61CCB" w:rsidRPr="00BE2002">
        <w:rPr>
          <w:sz w:val="22"/>
          <w:szCs w:val="22"/>
        </w:rPr>
        <w:t>g</w:t>
      </w:r>
      <w:r w:rsidRPr="00BE2002">
        <w:rPr>
          <w:sz w:val="22"/>
          <w:szCs w:val="22"/>
        </w:rPr>
        <w:t>uidance on Time Periods under the Procurement Act 2023</w:t>
      </w:r>
      <w:r w:rsidR="00D61CCB" w:rsidRPr="00BE2002">
        <w:rPr>
          <w:sz w:val="22"/>
          <w:szCs w:val="22"/>
        </w:rPr>
        <w:t xml:space="preserve"> </w:t>
      </w:r>
      <w:hyperlink r:id="rId12" w:history="1">
        <w:r w:rsidR="00D61CCB" w:rsidRPr="00BE2002">
          <w:rPr>
            <w:rStyle w:val="Hyperlink"/>
            <w:sz w:val="22"/>
            <w:szCs w:val="22"/>
          </w:rPr>
          <w:t>here</w:t>
        </w:r>
      </w:hyperlink>
      <w:r w:rsidR="00D61CCB" w:rsidRPr="00BE2002">
        <w:rPr>
          <w:sz w:val="22"/>
          <w:szCs w:val="22"/>
        </w:rPr>
        <w:t>.</w:t>
      </w:r>
    </w:p>
    <w:p w14:paraId="685F0C61" w14:textId="550C257D" w:rsidR="00D61CCB" w:rsidRPr="00D61CCB" w:rsidRDefault="00D61CCB" w:rsidP="003F0223">
      <w:pPr>
        <w:pStyle w:val="Default"/>
        <w:jc w:val="both"/>
      </w:pPr>
    </w:p>
    <w:p w14:paraId="1836C82C" w14:textId="25D6DBBC" w:rsidR="00D61CCB" w:rsidRPr="00D61CCB" w:rsidRDefault="00996DC1" w:rsidP="003F0223">
      <w:pPr>
        <w:pStyle w:val="Default"/>
        <w:jc w:val="both"/>
      </w:pPr>
      <w:r>
        <w:rPr>
          <w:noProof/>
        </w:rPr>
        <w:drawing>
          <wp:anchor distT="0" distB="0" distL="114300" distR="114300" simplePos="0" relativeHeight="251658240" behindDoc="0" locked="0" layoutInCell="1" allowOverlap="1" wp14:anchorId="3624832E" wp14:editId="3EB878BD">
            <wp:simplePos x="0" y="0"/>
            <wp:positionH relativeFrom="margin">
              <wp:align>right</wp:align>
            </wp:positionH>
            <wp:positionV relativeFrom="paragraph">
              <wp:posOffset>125316</wp:posOffset>
            </wp:positionV>
            <wp:extent cx="2630968" cy="2308216"/>
            <wp:effectExtent l="0" t="0" r="0" b="0"/>
            <wp:wrapSquare wrapText="bothSides"/>
            <wp:docPr id="416530325" name="Picture 1" descr="A ship with a globe and a plane flying above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30325" name="Picture 1" descr="A ship with a globe and a plane flying above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0968" cy="2308216"/>
                    </a:xfrm>
                    <a:prstGeom prst="rect">
                      <a:avLst/>
                    </a:prstGeom>
                  </pic:spPr>
                </pic:pic>
              </a:graphicData>
            </a:graphic>
            <wp14:sizeRelH relativeFrom="margin">
              <wp14:pctWidth>0</wp14:pctWidth>
            </wp14:sizeRelH>
            <wp14:sizeRelV relativeFrom="margin">
              <wp14:pctHeight>0</wp14:pctHeight>
            </wp14:sizeRelV>
          </wp:anchor>
        </w:drawing>
      </w:r>
    </w:p>
    <w:p w14:paraId="7C271970" w14:textId="708635BD" w:rsidR="00D61CCB" w:rsidRPr="00D61CCB" w:rsidRDefault="00D61CCB" w:rsidP="003F0223">
      <w:pPr>
        <w:pStyle w:val="Default"/>
        <w:jc w:val="both"/>
      </w:pPr>
    </w:p>
    <w:p w14:paraId="61735328" w14:textId="09FF651E" w:rsidR="00D61CCB" w:rsidRPr="00D61CCB" w:rsidRDefault="00D61CCB" w:rsidP="003F0223">
      <w:pPr>
        <w:pStyle w:val="Default"/>
        <w:jc w:val="both"/>
      </w:pPr>
    </w:p>
    <w:p w14:paraId="51C868D5" w14:textId="3C1BB6FF" w:rsidR="00D61CCB" w:rsidRPr="00D61CCB" w:rsidRDefault="00D61CCB" w:rsidP="003F0223">
      <w:pPr>
        <w:pStyle w:val="Default"/>
        <w:jc w:val="both"/>
      </w:pPr>
    </w:p>
    <w:p w14:paraId="6461DBE0" w14:textId="77777777" w:rsidR="00D61CCB" w:rsidRPr="00D61CCB" w:rsidRDefault="00D61CCB" w:rsidP="003F0223">
      <w:pPr>
        <w:pStyle w:val="Default"/>
        <w:jc w:val="both"/>
      </w:pPr>
    </w:p>
    <w:p w14:paraId="53DC1BB4" w14:textId="639C0271" w:rsidR="00D61CCB" w:rsidRPr="00D61CCB" w:rsidRDefault="00D61CCB" w:rsidP="003F0223">
      <w:pPr>
        <w:pStyle w:val="Default"/>
        <w:jc w:val="both"/>
      </w:pPr>
    </w:p>
    <w:bookmarkEnd w:id="0"/>
    <w:p w14:paraId="5EE48000" w14:textId="77777777" w:rsidR="00D61CCB" w:rsidRPr="00D61CCB" w:rsidRDefault="00D61CCB" w:rsidP="003F0223">
      <w:pPr>
        <w:pStyle w:val="Default"/>
        <w:jc w:val="both"/>
      </w:pPr>
    </w:p>
    <w:p w14:paraId="0D52039F" w14:textId="77777777" w:rsidR="00D61CCB" w:rsidRDefault="00D61CCB" w:rsidP="003F0223">
      <w:pPr>
        <w:pStyle w:val="Default"/>
        <w:jc w:val="both"/>
        <w:rPr>
          <w:sz w:val="22"/>
          <w:szCs w:val="22"/>
        </w:rPr>
      </w:pPr>
    </w:p>
    <w:p w14:paraId="2478BF62" w14:textId="77777777" w:rsidR="00D61CCB" w:rsidRDefault="00D61CCB" w:rsidP="003F0223">
      <w:pPr>
        <w:pStyle w:val="Default"/>
        <w:jc w:val="both"/>
        <w:rPr>
          <w:sz w:val="22"/>
          <w:szCs w:val="22"/>
        </w:rPr>
      </w:pPr>
    </w:p>
    <w:p w14:paraId="4F90E766" w14:textId="77777777" w:rsidR="00D61CCB" w:rsidRDefault="00D61CCB" w:rsidP="003F0223">
      <w:pPr>
        <w:pStyle w:val="Default"/>
        <w:jc w:val="both"/>
        <w:rPr>
          <w:sz w:val="22"/>
          <w:szCs w:val="22"/>
        </w:rPr>
      </w:pPr>
    </w:p>
    <w:p w14:paraId="7047BEE4" w14:textId="77777777" w:rsidR="00D61CCB" w:rsidRDefault="00D61CCB" w:rsidP="003F0223">
      <w:pPr>
        <w:pStyle w:val="Default"/>
        <w:jc w:val="both"/>
        <w:rPr>
          <w:sz w:val="22"/>
          <w:szCs w:val="22"/>
        </w:rPr>
      </w:pPr>
    </w:p>
    <w:p w14:paraId="5CBF9691" w14:textId="77777777" w:rsidR="00D61CCB" w:rsidRDefault="00D61CCB" w:rsidP="003F0223">
      <w:pPr>
        <w:pStyle w:val="Default"/>
        <w:jc w:val="both"/>
        <w:rPr>
          <w:sz w:val="22"/>
          <w:szCs w:val="22"/>
        </w:rPr>
      </w:pPr>
    </w:p>
    <w:p w14:paraId="4845F2F1" w14:textId="77777777" w:rsidR="00D61CCB" w:rsidRDefault="00D61CCB" w:rsidP="003F0223">
      <w:pPr>
        <w:pStyle w:val="Default"/>
        <w:jc w:val="both"/>
        <w:rPr>
          <w:sz w:val="22"/>
          <w:szCs w:val="22"/>
        </w:rPr>
      </w:pPr>
    </w:p>
    <w:p w14:paraId="31E52256" w14:textId="77777777" w:rsidR="00D61CCB" w:rsidRDefault="00D61CCB" w:rsidP="003F0223">
      <w:pPr>
        <w:pStyle w:val="Default"/>
        <w:jc w:val="both"/>
        <w:rPr>
          <w:sz w:val="22"/>
          <w:szCs w:val="22"/>
        </w:rPr>
      </w:pPr>
    </w:p>
    <w:p w14:paraId="7945C023" w14:textId="77777777" w:rsidR="00D61CCB" w:rsidRDefault="00D61CCB" w:rsidP="003F0223">
      <w:pPr>
        <w:pStyle w:val="Default"/>
        <w:jc w:val="both"/>
        <w:rPr>
          <w:sz w:val="22"/>
          <w:szCs w:val="22"/>
        </w:rPr>
      </w:pPr>
    </w:p>
    <w:p w14:paraId="198E9178" w14:textId="77777777" w:rsidR="00D61CCB" w:rsidRPr="00D61CCB" w:rsidRDefault="00D61CCB" w:rsidP="003F0223">
      <w:pPr>
        <w:pStyle w:val="Default"/>
        <w:jc w:val="both"/>
        <w:rPr>
          <w:sz w:val="22"/>
          <w:szCs w:val="22"/>
        </w:rPr>
      </w:pPr>
    </w:p>
    <w:p w14:paraId="387EB8B1" w14:textId="77777777" w:rsidR="00FB3B6D" w:rsidRPr="00D61CCB" w:rsidRDefault="00FB3B6D" w:rsidP="00A62B83">
      <w:pPr>
        <w:pStyle w:val="Default"/>
        <w:rPr>
          <w:sz w:val="22"/>
          <w:szCs w:val="22"/>
        </w:rPr>
      </w:pPr>
    </w:p>
    <w:tbl>
      <w:tblPr>
        <w:tblStyle w:val="TableGrid"/>
        <w:tblW w:w="0" w:type="auto"/>
        <w:tblLook w:val="04A0" w:firstRow="1" w:lastRow="0" w:firstColumn="1" w:lastColumn="0" w:noHBand="0" w:noVBand="1"/>
      </w:tblPr>
      <w:tblGrid>
        <w:gridCol w:w="1994"/>
        <w:gridCol w:w="1417"/>
        <w:gridCol w:w="2149"/>
        <w:gridCol w:w="1427"/>
        <w:gridCol w:w="1417"/>
        <w:gridCol w:w="1417"/>
        <w:gridCol w:w="2064"/>
        <w:gridCol w:w="2063"/>
      </w:tblGrid>
      <w:tr w:rsidR="00F554C9" w:rsidRPr="00B21C8F" w14:paraId="1E531C3E" w14:textId="0B574744" w:rsidTr="00BE2002">
        <w:trPr>
          <w:trHeight w:val="305"/>
        </w:trPr>
        <w:tc>
          <w:tcPr>
            <w:tcW w:w="2167" w:type="dxa"/>
            <w:vMerge w:val="restart"/>
            <w:shd w:val="clear" w:color="auto" w:fill="5A0066"/>
            <w:vAlign w:val="center"/>
          </w:tcPr>
          <w:p w14:paraId="02462889" w14:textId="77777777" w:rsidR="00F554C9" w:rsidRPr="00D61CCB" w:rsidRDefault="00F554C9" w:rsidP="003F0223">
            <w:pPr>
              <w:widowControl w:val="0"/>
              <w:autoSpaceDE w:val="0"/>
              <w:autoSpaceDN w:val="0"/>
              <w:adjustRightInd w:val="0"/>
              <w:spacing w:line="224" w:lineRule="exact"/>
              <w:ind w:right="-20"/>
              <w:jc w:val="center"/>
              <w:rPr>
                <w:rFonts w:ascii="Arial" w:hAnsi="Arial" w:cs="Arial"/>
                <w:b/>
              </w:rPr>
            </w:pPr>
            <w:r w:rsidRPr="00D61CCB">
              <w:rPr>
                <w:rFonts w:ascii="Arial" w:hAnsi="Arial" w:cs="Arial"/>
                <w:b/>
                <w:bCs/>
              </w:rPr>
              <w:t>C</w:t>
            </w:r>
            <w:r w:rsidRPr="00D61CCB">
              <w:rPr>
                <w:rFonts w:ascii="Arial" w:hAnsi="Arial" w:cs="Arial"/>
                <w:b/>
                <w:bCs/>
                <w:spacing w:val="1"/>
              </w:rPr>
              <w:t>ho</w:t>
            </w:r>
            <w:r w:rsidRPr="00D61CCB">
              <w:rPr>
                <w:rFonts w:ascii="Arial" w:hAnsi="Arial" w:cs="Arial"/>
                <w:b/>
                <w:bCs/>
              </w:rPr>
              <w:t>ice</w:t>
            </w:r>
            <w:r w:rsidRPr="00D61CCB">
              <w:rPr>
                <w:rFonts w:ascii="Arial" w:hAnsi="Arial" w:cs="Arial"/>
                <w:b/>
                <w:bCs/>
                <w:spacing w:val="-7"/>
              </w:rPr>
              <w:t xml:space="preserve"> </w:t>
            </w:r>
            <w:r w:rsidRPr="00D61CCB">
              <w:rPr>
                <w:rFonts w:ascii="Arial" w:hAnsi="Arial" w:cs="Arial"/>
                <w:b/>
                <w:bCs/>
                <w:spacing w:val="1"/>
              </w:rPr>
              <w:t>o</w:t>
            </w:r>
            <w:r w:rsidRPr="00D61CCB">
              <w:rPr>
                <w:rFonts w:ascii="Arial" w:hAnsi="Arial" w:cs="Arial"/>
                <w:b/>
                <w:bCs/>
              </w:rPr>
              <w:t>f</w:t>
            </w:r>
            <w:r w:rsidRPr="00D61CCB">
              <w:rPr>
                <w:rFonts w:ascii="Arial" w:hAnsi="Arial" w:cs="Arial"/>
                <w:b/>
                <w:bCs/>
                <w:spacing w:val="-1"/>
              </w:rPr>
              <w:t xml:space="preserve"> </w:t>
            </w:r>
            <w:r w:rsidRPr="00D61CCB">
              <w:rPr>
                <w:rFonts w:ascii="Arial" w:hAnsi="Arial" w:cs="Arial"/>
                <w:b/>
                <w:bCs/>
                <w:spacing w:val="1"/>
              </w:rPr>
              <w:t>p</w:t>
            </w:r>
            <w:r w:rsidRPr="00D61CCB">
              <w:rPr>
                <w:rFonts w:ascii="Arial" w:hAnsi="Arial" w:cs="Arial"/>
                <w:b/>
                <w:bCs/>
                <w:spacing w:val="-1"/>
              </w:rPr>
              <w:t>r</w:t>
            </w:r>
            <w:r w:rsidRPr="00D61CCB">
              <w:rPr>
                <w:rFonts w:ascii="Arial" w:hAnsi="Arial" w:cs="Arial"/>
                <w:b/>
                <w:bCs/>
                <w:spacing w:val="1"/>
              </w:rPr>
              <w:t>o</w:t>
            </w:r>
            <w:r w:rsidRPr="00D61CCB">
              <w:rPr>
                <w:rFonts w:ascii="Arial" w:hAnsi="Arial" w:cs="Arial"/>
                <w:b/>
                <w:bCs/>
                <w:spacing w:val="2"/>
              </w:rPr>
              <w:t>c</w:t>
            </w:r>
            <w:r w:rsidRPr="00D61CCB">
              <w:rPr>
                <w:rFonts w:ascii="Arial" w:hAnsi="Arial" w:cs="Arial"/>
                <w:b/>
                <w:bCs/>
              </w:rPr>
              <w:t>e</w:t>
            </w:r>
            <w:r w:rsidRPr="00D61CCB">
              <w:rPr>
                <w:rFonts w:ascii="Arial" w:hAnsi="Arial" w:cs="Arial"/>
                <w:b/>
                <w:bCs/>
                <w:spacing w:val="1"/>
              </w:rPr>
              <w:t>du</w:t>
            </w:r>
            <w:r w:rsidRPr="00D61CCB">
              <w:rPr>
                <w:rFonts w:ascii="Arial" w:hAnsi="Arial" w:cs="Arial"/>
                <w:b/>
                <w:bCs/>
                <w:spacing w:val="-1"/>
              </w:rPr>
              <w:t>r</w:t>
            </w:r>
            <w:r w:rsidRPr="00D61CCB">
              <w:rPr>
                <w:rFonts w:ascii="Arial" w:hAnsi="Arial" w:cs="Arial"/>
                <w:b/>
                <w:bCs/>
              </w:rPr>
              <w:t>e</w:t>
            </w:r>
          </w:p>
          <w:p w14:paraId="33C33D30" w14:textId="588DB89B" w:rsidR="00F554C9" w:rsidRPr="00D61CCB" w:rsidRDefault="00F554C9" w:rsidP="003F0223">
            <w:pPr>
              <w:pStyle w:val="Default"/>
              <w:jc w:val="center"/>
              <w:rPr>
                <w:color w:val="auto"/>
                <w:sz w:val="22"/>
                <w:szCs w:val="22"/>
              </w:rPr>
            </w:pPr>
            <w:r w:rsidRPr="00D61CCB">
              <w:rPr>
                <w:b/>
                <w:bCs/>
                <w:color w:val="auto"/>
                <w:sz w:val="22"/>
                <w:szCs w:val="22"/>
              </w:rPr>
              <w:t>a</w:t>
            </w:r>
            <w:r w:rsidRPr="00D61CCB">
              <w:rPr>
                <w:b/>
                <w:bCs/>
                <w:color w:val="auto"/>
                <w:spacing w:val="1"/>
                <w:sz w:val="22"/>
                <w:szCs w:val="22"/>
              </w:rPr>
              <w:t>n</w:t>
            </w:r>
            <w:r w:rsidRPr="00D61CCB">
              <w:rPr>
                <w:b/>
                <w:bCs/>
                <w:color w:val="auto"/>
                <w:sz w:val="22"/>
                <w:szCs w:val="22"/>
              </w:rPr>
              <w:t>d</w:t>
            </w:r>
            <w:r w:rsidRPr="00D61CCB">
              <w:rPr>
                <w:b/>
                <w:bCs/>
                <w:color w:val="auto"/>
                <w:spacing w:val="-4"/>
                <w:sz w:val="22"/>
                <w:szCs w:val="22"/>
              </w:rPr>
              <w:t xml:space="preserve"> </w:t>
            </w:r>
            <w:r w:rsidRPr="00D61CCB">
              <w:rPr>
                <w:b/>
                <w:bCs/>
                <w:color w:val="auto"/>
                <w:sz w:val="22"/>
                <w:szCs w:val="22"/>
              </w:rPr>
              <w:t>s</w:t>
            </w:r>
            <w:r w:rsidRPr="00D61CCB">
              <w:rPr>
                <w:b/>
                <w:bCs/>
                <w:color w:val="auto"/>
                <w:spacing w:val="1"/>
                <w:sz w:val="22"/>
                <w:szCs w:val="22"/>
              </w:rPr>
              <w:t>t</w:t>
            </w:r>
            <w:r w:rsidRPr="00D61CCB">
              <w:rPr>
                <w:b/>
                <w:bCs/>
                <w:color w:val="auto"/>
                <w:sz w:val="22"/>
                <w:szCs w:val="22"/>
              </w:rPr>
              <w:t>a</w:t>
            </w:r>
            <w:r w:rsidRPr="00D61CCB">
              <w:rPr>
                <w:b/>
                <w:bCs/>
                <w:color w:val="auto"/>
                <w:spacing w:val="1"/>
                <w:sz w:val="22"/>
                <w:szCs w:val="22"/>
              </w:rPr>
              <w:t>g</w:t>
            </w:r>
            <w:r w:rsidRPr="00D61CCB">
              <w:rPr>
                <w:b/>
                <w:bCs/>
                <w:color w:val="auto"/>
                <w:sz w:val="22"/>
                <w:szCs w:val="22"/>
              </w:rPr>
              <w:t>e</w:t>
            </w:r>
          </w:p>
        </w:tc>
        <w:tc>
          <w:tcPr>
            <w:tcW w:w="3640" w:type="dxa"/>
            <w:gridSpan w:val="2"/>
            <w:shd w:val="clear" w:color="auto" w:fill="5A0066"/>
            <w:vAlign w:val="center"/>
          </w:tcPr>
          <w:p w14:paraId="640F3B18" w14:textId="4FEFEBED" w:rsidR="00F554C9" w:rsidRPr="00D61CCB" w:rsidRDefault="00F554C9" w:rsidP="003F0223">
            <w:pPr>
              <w:pStyle w:val="Default"/>
              <w:jc w:val="center"/>
              <w:rPr>
                <w:color w:val="auto"/>
                <w:sz w:val="22"/>
                <w:szCs w:val="22"/>
              </w:rPr>
            </w:pPr>
            <w:r w:rsidRPr="00D61CCB">
              <w:rPr>
                <w:b/>
                <w:bCs/>
                <w:color w:val="auto"/>
                <w:spacing w:val="-1"/>
                <w:sz w:val="22"/>
                <w:szCs w:val="22"/>
              </w:rPr>
              <w:t>S</w:t>
            </w:r>
            <w:r w:rsidRPr="00D61CCB">
              <w:rPr>
                <w:b/>
                <w:bCs/>
                <w:color w:val="auto"/>
                <w:spacing w:val="1"/>
                <w:sz w:val="22"/>
                <w:szCs w:val="22"/>
              </w:rPr>
              <w:t>t</w:t>
            </w:r>
            <w:r w:rsidRPr="00D61CCB">
              <w:rPr>
                <w:b/>
                <w:bCs/>
                <w:color w:val="auto"/>
                <w:sz w:val="22"/>
                <w:szCs w:val="22"/>
              </w:rPr>
              <w:t>a</w:t>
            </w:r>
            <w:r w:rsidRPr="00D61CCB">
              <w:rPr>
                <w:b/>
                <w:bCs/>
                <w:color w:val="auto"/>
                <w:spacing w:val="1"/>
                <w:sz w:val="22"/>
                <w:szCs w:val="22"/>
              </w:rPr>
              <w:t>nd</w:t>
            </w:r>
            <w:r w:rsidRPr="00D61CCB">
              <w:rPr>
                <w:b/>
                <w:bCs/>
                <w:color w:val="auto"/>
                <w:sz w:val="22"/>
                <w:szCs w:val="22"/>
              </w:rPr>
              <w:t>a</w:t>
            </w:r>
            <w:r w:rsidRPr="00D61CCB">
              <w:rPr>
                <w:b/>
                <w:bCs/>
                <w:color w:val="auto"/>
                <w:spacing w:val="-1"/>
                <w:sz w:val="22"/>
                <w:szCs w:val="22"/>
              </w:rPr>
              <w:t>r</w:t>
            </w:r>
            <w:r w:rsidRPr="00D61CCB">
              <w:rPr>
                <w:b/>
                <w:bCs/>
                <w:color w:val="auto"/>
                <w:sz w:val="22"/>
                <w:szCs w:val="22"/>
              </w:rPr>
              <w:t>d</w:t>
            </w:r>
            <w:r w:rsidRPr="00D61CCB">
              <w:rPr>
                <w:b/>
                <w:bCs/>
                <w:color w:val="auto"/>
                <w:spacing w:val="-9"/>
                <w:sz w:val="22"/>
                <w:szCs w:val="22"/>
              </w:rPr>
              <w:t xml:space="preserve"> </w:t>
            </w:r>
            <w:r w:rsidRPr="00D61CCB">
              <w:rPr>
                <w:b/>
                <w:bCs/>
                <w:color w:val="auto"/>
                <w:spacing w:val="1"/>
                <w:sz w:val="22"/>
                <w:szCs w:val="22"/>
              </w:rPr>
              <w:t>t</w:t>
            </w:r>
            <w:r w:rsidRPr="00D61CCB">
              <w:rPr>
                <w:b/>
                <w:bCs/>
                <w:color w:val="auto"/>
                <w:sz w:val="22"/>
                <w:szCs w:val="22"/>
              </w:rPr>
              <w:t>i</w:t>
            </w:r>
            <w:r w:rsidRPr="00D61CCB">
              <w:rPr>
                <w:b/>
                <w:bCs/>
                <w:color w:val="auto"/>
                <w:spacing w:val="3"/>
                <w:sz w:val="22"/>
                <w:szCs w:val="22"/>
              </w:rPr>
              <w:t>m</w:t>
            </w:r>
            <w:r w:rsidRPr="00D61CCB">
              <w:rPr>
                <w:b/>
                <w:bCs/>
                <w:color w:val="auto"/>
                <w:sz w:val="22"/>
                <w:szCs w:val="22"/>
              </w:rPr>
              <w:t>es</w:t>
            </w:r>
            <w:r w:rsidRPr="00D61CCB">
              <w:rPr>
                <w:b/>
                <w:bCs/>
                <w:color w:val="auto"/>
                <w:spacing w:val="2"/>
                <w:sz w:val="22"/>
                <w:szCs w:val="22"/>
              </w:rPr>
              <w:t>c</w:t>
            </w:r>
            <w:r w:rsidRPr="00D61CCB">
              <w:rPr>
                <w:b/>
                <w:bCs/>
                <w:color w:val="auto"/>
                <w:sz w:val="22"/>
                <w:szCs w:val="22"/>
              </w:rPr>
              <w:t>al</w:t>
            </w:r>
            <w:r w:rsidRPr="00D61CCB">
              <w:rPr>
                <w:b/>
                <w:bCs/>
                <w:color w:val="auto"/>
                <w:spacing w:val="2"/>
                <w:sz w:val="22"/>
                <w:szCs w:val="22"/>
              </w:rPr>
              <w:t>e</w:t>
            </w:r>
            <w:r w:rsidRPr="00D61CCB">
              <w:rPr>
                <w:b/>
                <w:bCs/>
                <w:color w:val="auto"/>
                <w:sz w:val="22"/>
                <w:szCs w:val="22"/>
              </w:rPr>
              <w:t>s</w:t>
            </w:r>
          </w:p>
        </w:tc>
        <w:tc>
          <w:tcPr>
            <w:tcW w:w="1146" w:type="dxa"/>
            <w:vMerge w:val="restart"/>
            <w:shd w:val="clear" w:color="auto" w:fill="5A0066"/>
            <w:vAlign w:val="center"/>
          </w:tcPr>
          <w:p w14:paraId="375AEDB2" w14:textId="6E95A272" w:rsidR="00F554C9" w:rsidRPr="00D61CCB" w:rsidRDefault="00F554C9" w:rsidP="003F0223">
            <w:pPr>
              <w:pStyle w:val="Default"/>
              <w:jc w:val="center"/>
              <w:rPr>
                <w:color w:val="auto"/>
                <w:sz w:val="22"/>
                <w:szCs w:val="22"/>
              </w:rPr>
            </w:pPr>
            <w:r w:rsidRPr="00D61CCB">
              <w:rPr>
                <w:b/>
                <w:bCs/>
                <w:color w:val="auto"/>
                <w:sz w:val="22"/>
                <w:szCs w:val="22"/>
              </w:rPr>
              <w:t>Option for sub-central contracting authorities</w:t>
            </w:r>
            <w:r w:rsidR="00DE0B7E" w:rsidRPr="00D61CCB">
              <w:rPr>
                <w:b/>
                <w:bCs/>
                <w:color w:val="auto"/>
                <w:sz w:val="22"/>
                <w:szCs w:val="22"/>
              </w:rPr>
              <w:t>*</w:t>
            </w:r>
          </w:p>
        </w:tc>
        <w:tc>
          <w:tcPr>
            <w:tcW w:w="2620" w:type="dxa"/>
            <w:gridSpan w:val="2"/>
            <w:shd w:val="clear" w:color="auto" w:fill="5A0066"/>
            <w:vAlign w:val="center"/>
          </w:tcPr>
          <w:p w14:paraId="365DA7AC" w14:textId="61863F55" w:rsidR="00F554C9" w:rsidRPr="00D61CCB" w:rsidRDefault="00F554C9" w:rsidP="003F0223">
            <w:pPr>
              <w:pStyle w:val="Default"/>
              <w:jc w:val="center"/>
              <w:rPr>
                <w:color w:val="auto"/>
                <w:sz w:val="22"/>
                <w:szCs w:val="22"/>
              </w:rPr>
            </w:pPr>
            <w:r w:rsidRPr="00D61CCB">
              <w:rPr>
                <w:b/>
                <w:bCs/>
                <w:color w:val="auto"/>
                <w:spacing w:val="3"/>
                <w:sz w:val="22"/>
                <w:szCs w:val="22"/>
              </w:rPr>
              <w:t xml:space="preserve">Tenders </w:t>
            </w:r>
            <w:r w:rsidRPr="00D61CCB">
              <w:rPr>
                <w:b/>
                <w:bCs/>
                <w:color w:val="auto"/>
                <w:spacing w:val="3"/>
                <w:sz w:val="22"/>
                <w:szCs w:val="22"/>
                <w:u w:val="single"/>
              </w:rPr>
              <w:t>submitted</w:t>
            </w:r>
            <w:r w:rsidRPr="00D61CCB">
              <w:rPr>
                <w:b/>
                <w:bCs/>
                <w:color w:val="auto"/>
                <w:spacing w:val="3"/>
                <w:sz w:val="22"/>
                <w:szCs w:val="22"/>
              </w:rPr>
              <w:t xml:space="preserve"> electronically</w:t>
            </w:r>
          </w:p>
        </w:tc>
        <w:tc>
          <w:tcPr>
            <w:tcW w:w="2188" w:type="dxa"/>
            <w:vMerge w:val="restart"/>
            <w:shd w:val="clear" w:color="auto" w:fill="5A0066"/>
            <w:vAlign w:val="center"/>
          </w:tcPr>
          <w:p w14:paraId="7638942A" w14:textId="77777777" w:rsidR="00F554C9" w:rsidRPr="00D61CCB" w:rsidRDefault="00F554C9" w:rsidP="003F0223">
            <w:pPr>
              <w:widowControl w:val="0"/>
              <w:autoSpaceDE w:val="0"/>
              <w:autoSpaceDN w:val="0"/>
              <w:adjustRightInd w:val="0"/>
              <w:spacing w:line="224" w:lineRule="exact"/>
              <w:ind w:right="-20"/>
              <w:jc w:val="center"/>
              <w:rPr>
                <w:rFonts w:ascii="Arial" w:hAnsi="Arial" w:cs="Arial"/>
                <w:b/>
              </w:rPr>
            </w:pPr>
            <w:r w:rsidRPr="00D61CCB">
              <w:rPr>
                <w:rFonts w:ascii="Arial" w:hAnsi="Arial" w:cs="Arial"/>
                <w:b/>
                <w:bCs/>
              </w:rPr>
              <w:t>Re</w:t>
            </w:r>
            <w:r w:rsidRPr="00D61CCB">
              <w:rPr>
                <w:rFonts w:ascii="Arial" w:hAnsi="Arial" w:cs="Arial"/>
                <w:b/>
                <w:bCs/>
                <w:spacing w:val="1"/>
              </w:rPr>
              <w:t>qu</w:t>
            </w:r>
            <w:r w:rsidRPr="00D61CCB">
              <w:rPr>
                <w:rFonts w:ascii="Arial" w:hAnsi="Arial" w:cs="Arial"/>
                <w:b/>
                <w:bCs/>
              </w:rPr>
              <w:t>i</w:t>
            </w:r>
            <w:r w:rsidRPr="00D61CCB">
              <w:rPr>
                <w:rFonts w:ascii="Arial" w:hAnsi="Arial" w:cs="Arial"/>
                <w:b/>
                <w:bCs/>
                <w:spacing w:val="-1"/>
              </w:rPr>
              <w:t>r</w:t>
            </w:r>
            <w:r w:rsidRPr="00D61CCB">
              <w:rPr>
                <w:rFonts w:ascii="Arial" w:hAnsi="Arial" w:cs="Arial"/>
                <w:b/>
                <w:bCs/>
              </w:rPr>
              <w:t>e</w:t>
            </w:r>
            <w:r w:rsidRPr="00D61CCB">
              <w:rPr>
                <w:rFonts w:ascii="Arial" w:hAnsi="Arial" w:cs="Arial"/>
                <w:b/>
                <w:bCs/>
                <w:spacing w:val="3"/>
              </w:rPr>
              <w:t>m</w:t>
            </w:r>
            <w:r w:rsidRPr="00D61CCB">
              <w:rPr>
                <w:rFonts w:ascii="Arial" w:hAnsi="Arial" w:cs="Arial"/>
                <w:b/>
                <w:bCs/>
              </w:rPr>
              <w:t>e</w:t>
            </w:r>
            <w:r w:rsidRPr="00D61CCB">
              <w:rPr>
                <w:rFonts w:ascii="Arial" w:hAnsi="Arial" w:cs="Arial"/>
                <w:b/>
                <w:bCs/>
                <w:spacing w:val="1"/>
              </w:rPr>
              <w:t>n</w:t>
            </w:r>
            <w:r w:rsidRPr="00D61CCB">
              <w:rPr>
                <w:rFonts w:ascii="Arial" w:hAnsi="Arial" w:cs="Arial"/>
                <w:b/>
                <w:bCs/>
              </w:rPr>
              <w:t>t</w:t>
            </w:r>
            <w:r w:rsidRPr="00D61CCB">
              <w:rPr>
                <w:rFonts w:ascii="Arial" w:hAnsi="Arial" w:cs="Arial"/>
                <w:b/>
                <w:bCs/>
                <w:spacing w:val="-11"/>
              </w:rPr>
              <w:t xml:space="preserve"> </w:t>
            </w:r>
            <w:r w:rsidRPr="00D61CCB">
              <w:rPr>
                <w:rFonts w:ascii="Arial" w:hAnsi="Arial" w:cs="Arial"/>
                <w:b/>
                <w:bCs/>
              </w:rPr>
              <w:t>is</w:t>
            </w:r>
          </w:p>
          <w:p w14:paraId="41F63B70" w14:textId="73990BDC" w:rsidR="00F554C9" w:rsidRPr="00D61CCB" w:rsidRDefault="00F554C9" w:rsidP="003F0223">
            <w:pPr>
              <w:pStyle w:val="Default"/>
              <w:jc w:val="center"/>
              <w:rPr>
                <w:color w:val="auto"/>
                <w:sz w:val="22"/>
                <w:szCs w:val="22"/>
              </w:rPr>
            </w:pPr>
            <w:r w:rsidRPr="00D61CCB">
              <w:rPr>
                <w:b/>
                <w:bCs/>
                <w:color w:val="auto"/>
                <w:spacing w:val="1"/>
                <w:sz w:val="22"/>
                <w:szCs w:val="22"/>
              </w:rPr>
              <w:t>u</w:t>
            </w:r>
            <w:r w:rsidRPr="00D61CCB">
              <w:rPr>
                <w:b/>
                <w:bCs/>
                <w:color w:val="auto"/>
                <w:spacing w:val="-1"/>
                <w:sz w:val="22"/>
                <w:szCs w:val="22"/>
              </w:rPr>
              <w:t>r</w:t>
            </w:r>
            <w:r w:rsidRPr="00D61CCB">
              <w:rPr>
                <w:b/>
                <w:bCs/>
                <w:color w:val="auto"/>
                <w:spacing w:val="1"/>
                <w:sz w:val="22"/>
                <w:szCs w:val="22"/>
              </w:rPr>
              <w:t>g</w:t>
            </w:r>
            <w:r w:rsidRPr="00D61CCB">
              <w:rPr>
                <w:b/>
                <w:bCs/>
                <w:color w:val="auto"/>
                <w:sz w:val="22"/>
                <w:szCs w:val="22"/>
              </w:rPr>
              <w:t>e</w:t>
            </w:r>
            <w:r w:rsidRPr="00D61CCB">
              <w:rPr>
                <w:b/>
                <w:bCs/>
                <w:color w:val="auto"/>
                <w:spacing w:val="1"/>
                <w:sz w:val="22"/>
                <w:szCs w:val="22"/>
              </w:rPr>
              <w:t>n</w:t>
            </w:r>
            <w:r w:rsidRPr="00D61CCB">
              <w:rPr>
                <w:b/>
                <w:bCs/>
                <w:color w:val="auto"/>
                <w:sz w:val="22"/>
                <w:szCs w:val="22"/>
              </w:rPr>
              <w:t>t</w:t>
            </w:r>
            <w:r w:rsidRPr="00D61CCB">
              <w:rPr>
                <w:b/>
                <w:bCs/>
                <w:color w:val="auto"/>
                <w:spacing w:val="-5"/>
                <w:sz w:val="22"/>
                <w:szCs w:val="22"/>
              </w:rPr>
              <w:t xml:space="preserve"> </w:t>
            </w:r>
            <w:r w:rsidRPr="00D61CCB">
              <w:rPr>
                <w:b/>
                <w:bCs/>
                <w:color w:val="auto"/>
                <w:sz w:val="22"/>
                <w:szCs w:val="22"/>
              </w:rPr>
              <w:t>a</w:t>
            </w:r>
            <w:r w:rsidRPr="00D61CCB">
              <w:rPr>
                <w:b/>
                <w:bCs/>
                <w:color w:val="auto"/>
                <w:spacing w:val="1"/>
                <w:sz w:val="22"/>
                <w:szCs w:val="22"/>
              </w:rPr>
              <w:t>n</w:t>
            </w:r>
            <w:r w:rsidRPr="00D61CCB">
              <w:rPr>
                <w:b/>
                <w:bCs/>
                <w:color w:val="auto"/>
                <w:sz w:val="22"/>
                <w:szCs w:val="22"/>
              </w:rPr>
              <w:t>d</w:t>
            </w:r>
            <w:r w:rsidRPr="00D61CCB">
              <w:rPr>
                <w:b/>
                <w:bCs/>
                <w:color w:val="auto"/>
                <w:spacing w:val="-4"/>
                <w:sz w:val="22"/>
                <w:szCs w:val="22"/>
              </w:rPr>
              <w:t xml:space="preserve"> </w:t>
            </w:r>
            <w:r w:rsidRPr="00D61CCB">
              <w:rPr>
                <w:b/>
                <w:bCs/>
                <w:color w:val="auto"/>
                <w:sz w:val="22"/>
                <w:szCs w:val="22"/>
              </w:rPr>
              <w:t>l</w:t>
            </w:r>
            <w:r w:rsidRPr="00D61CCB">
              <w:rPr>
                <w:b/>
                <w:bCs/>
                <w:color w:val="auto"/>
                <w:spacing w:val="1"/>
                <w:sz w:val="22"/>
                <w:szCs w:val="22"/>
              </w:rPr>
              <w:t>ong</w:t>
            </w:r>
            <w:r w:rsidRPr="00D61CCB">
              <w:rPr>
                <w:b/>
                <w:bCs/>
                <w:color w:val="auto"/>
                <w:sz w:val="22"/>
                <w:szCs w:val="22"/>
              </w:rPr>
              <w:t xml:space="preserve">er </w:t>
            </w:r>
            <w:r w:rsidRPr="00D61CCB">
              <w:rPr>
                <w:b/>
                <w:bCs/>
                <w:color w:val="auto"/>
                <w:spacing w:val="1"/>
                <w:sz w:val="22"/>
                <w:szCs w:val="22"/>
              </w:rPr>
              <w:t>t</w:t>
            </w:r>
            <w:r w:rsidRPr="00D61CCB">
              <w:rPr>
                <w:b/>
                <w:bCs/>
                <w:color w:val="auto"/>
                <w:sz w:val="22"/>
                <w:szCs w:val="22"/>
              </w:rPr>
              <w:t>ime</w:t>
            </w:r>
            <w:r w:rsidRPr="00D61CCB">
              <w:rPr>
                <w:b/>
                <w:bCs/>
                <w:color w:val="auto"/>
                <w:spacing w:val="-5"/>
                <w:sz w:val="22"/>
                <w:szCs w:val="22"/>
              </w:rPr>
              <w:t xml:space="preserve"> </w:t>
            </w:r>
            <w:r w:rsidRPr="00D61CCB">
              <w:rPr>
                <w:b/>
                <w:bCs/>
                <w:color w:val="auto"/>
                <w:sz w:val="22"/>
                <w:szCs w:val="22"/>
              </w:rPr>
              <w:t>limit</w:t>
            </w:r>
            <w:r w:rsidRPr="00D61CCB">
              <w:rPr>
                <w:b/>
                <w:bCs/>
                <w:color w:val="auto"/>
                <w:spacing w:val="-1"/>
                <w:sz w:val="22"/>
                <w:szCs w:val="22"/>
              </w:rPr>
              <w:t xml:space="preserve"> </w:t>
            </w:r>
            <w:r w:rsidRPr="00D61CCB">
              <w:rPr>
                <w:b/>
                <w:bCs/>
                <w:color w:val="auto"/>
                <w:sz w:val="22"/>
                <w:szCs w:val="22"/>
              </w:rPr>
              <w:t>is im</w:t>
            </w:r>
            <w:r w:rsidRPr="00D61CCB">
              <w:rPr>
                <w:b/>
                <w:bCs/>
                <w:color w:val="auto"/>
                <w:spacing w:val="1"/>
                <w:sz w:val="22"/>
                <w:szCs w:val="22"/>
              </w:rPr>
              <w:t>p</w:t>
            </w:r>
            <w:r w:rsidRPr="00D61CCB">
              <w:rPr>
                <w:b/>
                <w:bCs/>
                <w:color w:val="auto"/>
                <w:spacing w:val="-1"/>
                <w:sz w:val="22"/>
                <w:szCs w:val="22"/>
              </w:rPr>
              <w:t>r</w:t>
            </w:r>
            <w:r w:rsidRPr="00D61CCB">
              <w:rPr>
                <w:b/>
                <w:bCs/>
                <w:color w:val="auto"/>
                <w:sz w:val="22"/>
                <w:szCs w:val="22"/>
              </w:rPr>
              <w:t>ac</w:t>
            </w:r>
            <w:r w:rsidRPr="00D61CCB">
              <w:rPr>
                <w:b/>
                <w:bCs/>
                <w:color w:val="auto"/>
                <w:spacing w:val="1"/>
                <w:sz w:val="22"/>
                <w:szCs w:val="22"/>
              </w:rPr>
              <w:t>t</w:t>
            </w:r>
            <w:r w:rsidRPr="00D61CCB">
              <w:rPr>
                <w:b/>
                <w:bCs/>
                <w:color w:val="auto"/>
                <w:spacing w:val="2"/>
                <w:sz w:val="22"/>
                <w:szCs w:val="22"/>
              </w:rPr>
              <w:t>i</w:t>
            </w:r>
            <w:r w:rsidRPr="00D61CCB">
              <w:rPr>
                <w:b/>
                <w:bCs/>
                <w:color w:val="auto"/>
                <w:sz w:val="22"/>
                <w:szCs w:val="22"/>
              </w:rPr>
              <w:t>cal</w:t>
            </w:r>
            <w:r w:rsidRPr="00D61CCB">
              <w:rPr>
                <w:b/>
                <w:bCs/>
                <w:color w:val="auto"/>
                <w:spacing w:val="-7"/>
                <w:sz w:val="22"/>
                <w:szCs w:val="22"/>
              </w:rPr>
              <w:t xml:space="preserve"> </w:t>
            </w:r>
            <w:r w:rsidRPr="00D61CCB">
              <w:rPr>
                <w:b/>
                <w:bCs/>
                <w:color w:val="auto"/>
                <w:sz w:val="22"/>
                <w:szCs w:val="22"/>
              </w:rPr>
              <w:t>as</w:t>
            </w:r>
            <w:r w:rsidRPr="00D61CCB">
              <w:rPr>
                <w:b/>
                <w:bCs/>
                <w:color w:val="auto"/>
                <w:spacing w:val="-3"/>
                <w:sz w:val="22"/>
                <w:szCs w:val="22"/>
              </w:rPr>
              <w:t xml:space="preserve"> </w:t>
            </w:r>
            <w:r w:rsidRPr="00D61CCB">
              <w:rPr>
                <w:b/>
                <w:bCs/>
                <w:color w:val="auto"/>
                <w:sz w:val="22"/>
                <w:szCs w:val="22"/>
              </w:rPr>
              <w:t xml:space="preserve">a </w:t>
            </w:r>
            <w:r w:rsidRPr="00D61CCB">
              <w:rPr>
                <w:b/>
                <w:bCs/>
                <w:color w:val="auto"/>
                <w:spacing w:val="-1"/>
                <w:sz w:val="22"/>
                <w:szCs w:val="22"/>
              </w:rPr>
              <w:t>r</w:t>
            </w:r>
            <w:r w:rsidRPr="00D61CCB">
              <w:rPr>
                <w:b/>
                <w:bCs/>
                <w:color w:val="auto"/>
                <w:sz w:val="22"/>
                <w:szCs w:val="22"/>
              </w:rPr>
              <w:t>es</w:t>
            </w:r>
            <w:r w:rsidRPr="00D61CCB">
              <w:rPr>
                <w:b/>
                <w:bCs/>
                <w:color w:val="auto"/>
                <w:spacing w:val="1"/>
                <w:sz w:val="22"/>
                <w:szCs w:val="22"/>
              </w:rPr>
              <w:t>u</w:t>
            </w:r>
            <w:r w:rsidRPr="00D61CCB">
              <w:rPr>
                <w:b/>
                <w:bCs/>
                <w:color w:val="auto"/>
                <w:sz w:val="22"/>
                <w:szCs w:val="22"/>
              </w:rPr>
              <w:t>lt</w:t>
            </w:r>
          </w:p>
        </w:tc>
        <w:tc>
          <w:tcPr>
            <w:tcW w:w="2187" w:type="dxa"/>
            <w:vMerge w:val="restart"/>
            <w:shd w:val="clear" w:color="auto" w:fill="5A0066"/>
            <w:vAlign w:val="center"/>
          </w:tcPr>
          <w:p w14:paraId="2E55B852" w14:textId="64EDC3DD" w:rsidR="00F554C9" w:rsidRPr="00D61CCB" w:rsidRDefault="00F554C9" w:rsidP="003F0223">
            <w:pPr>
              <w:widowControl w:val="0"/>
              <w:autoSpaceDE w:val="0"/>
              <w:autoSpaceDN w:val="0"/>
              <w:adjustRightInd w:val="0"/>
              <w:spacing w:line="224" w:lineRule="exact"/>
              <w:ind w:right="-20"/>
              <w:jc w:val="center"/>
            </w:pPr>
            <w:r w:rsidRPr="00D61CCB">
              <w:rPr>
                <w:rFonts w:ascii="Arial" w:hAnsi="Arial" w:cs="Arial"/>
                <w:b/>
                <w:bCs/>
                <w:spacing w:val="-1"/>
              </w:rPr>
              <w:t>Qualifying Planned Procurement Notice</w:t>
            </w:r>
            <w:r w:rsidRPr="00D61CCB">
              <w:rPr>
                <w:rFonts w:ascii="Arial" w:hAnsi="Arial" w:cs="Arial"/>
                <w:b/>
                <w:bCs/>
                <w:spacing w:val="-3"/>
              </w:rPr>
              <w:t xml:space="preserve"> </w:t>
            </w:r>
            <w:r w:rsidRPr="00D61CCB">
              <w:rPr>
                <w:rFonts w:ascii="Arial" w:hAnsi="Arial" w:cs="Arial"/>
                <w:b/>
                <w:bCs/>
                <w:spacing w:val="1"/>
              </w:rPr>
              <w:t>has been issued</w:t>
            </w:r>
          </w:p>
        </w:tc>
      </w:tr>
      <w:tr w:rsidR="00F554C9" w:rsidRPr="00B21C8F" w14:paraId="50142AD8" w14:textId="77777777" w:rsidTr="00BE2002">
        <w:trPr>
          <w:trHeight w:val="305"/>
        </w:trPr>
        <w:tc>
          <w:tcPr>
            <w:tcW w:w="2167" w:type="dxa"/>
            <w:vMerge/>
            <w:shd w:val="clear" w:color="auto" w:fill="5A0066"/>
            <w:vAlign w:val="center"/>
          </w:tcPr>
          <w:p w14:paraId="466B0B04" w14:textId="77777777" w:rsidR="00F554C9" w:rsidRPr="00D61CCB" w:rsidRDefault="00F554C9" w:rsidP="00F554C9">
            <w:pPr>
              <w:widowControl w:val="0"/>
              <w:autoSpaceDE w:val="0"/>
              <w:autoSpaceDN w:val="0"/>
              <w:adjustRightInd w:val="0"/>
              <w:spacing w:line="224" w:lineRule="exact"/>
              <w:ind w:right="-20"/>
              <w:rPr>
                <w:rFonts w:ascii="Arial" w:hAnsi="Arial" w:cs="Arial"/>
                <w:b/>
                <w:bCs/>
                <w:color w:val="FFFFFF"/>
              </w:rPr>
            </w:pPr>
          </w:p>
        </w:tc>
        <w:tc>
          <w:tcPr>
            <w:tcW w:w="1310" w:type="dxa"/>
            <w:shd w:val="clear" w:color="auto" w:fill="EBE7F2"/>
            <w:vAlign w:val="center"/>
          </w:tcPr>
          <w:p w14:paraId="6B4905CF" w14:textId="04575413" w:rsidR="00F554C9" w:rsidRPr="00BE2002" w:rsidRDefault="00F554C9" w:rsidP="00F554C9">
            <w:pPr>
              <w:pStyle w:val="Default"/>
              <w:rPr>
                <w:b/>
                <w:bCs/>
                <w:color w:val="5A0066"/>
                <w:spacing w:val="-1"/>
                <w:sz w:val="22"/>
                <w:szCs w:val="22"/>
              </w:rPr>
            </w:pPr>
            <w:r w:rsidRPr="00BE2002">
              <w:rPr>
                <w:b/>
                <w:bCs/>
                <w:color w:val="5A0066"/>
                <w:spacing w:val="3"/>
                <w:sz w:val="22"/>
                <w:szCs w:val="22"/>
              </w:rPr>
              <w:t>All documents published at the same time</w:t>
            </w:r>
          </w:p>
        </w:tc>
        <w:tc>
          <w:tcPr>
            <w:tcW w:w="2330" w:type="dxa"/>
            <w:shd w:val="clear" w:color="auto" w:fill="EBE7F2"/>
            <w:vAlign w:val="center"/>
          </w:tcPr>
          <w:p w14:paraId="1392784A" w14:textId="2541116E" w:rsidR="00F554C9" w:rsidRPr="00BE2002" w:rsidRDefault="00F554C9" w:rsidP="00F554C9">
            <w:pPr>
              <w:pStyle w:val="Default"/>
              <w:rPr>
                <w:b/>
                <w:bCs/>
                <w:color w:val="5A0066"/>
                <w:spacing w:val="-1"/>
                <w:sz w:val="22"/>
                <w:szCs w:val="22"/>
              </w:rPr>
            </w:pPr>
            <w:r w:rsidRPr="00BE2002">
              <w:rPr>
                <w:b/>
                <w:bCs/>
                <w:color w:val="5A0066"/>
                <w:spacing w:val="3"/>
                <w:sz w:val="22"/>
                <w:szCs w:val="22"/>
              </w:rPr>
              <w:t>Not all documents provided at the same time</w:t>
            </w:r>
          </w:p>
        </w:tc>
        <w:tc>
          <w:tcPr>
            <w:tcW w:w="1146" w:type="dxa"/>
            <w:vMerge/>
            <w:shd w:val="clear" w:color="auto" w:fill="5A0066"/>
            <w:vAlign w:val="center"/>
          </w:tcPr>
          <w:p w14:paraId="751D6E92" w14:textId="77777777" w:rsidR="00F554C9" w:rsidRPr="00D61CCB" w:rsidRDefault="00F554C9" w:rsidP="00F554C9">
            <w:pPr>
              <w:pStyle w:val="Default"/>
              <w:rPr>
                <w:b/>
                <w:bCs/>
                <w:color w:val="FFFFFF"/>
                <w:sz w:val="22"/>
                <w:szCs w:val="22"/>
              </w:rPr>
            </w:pPr>
          </w:p>
        </w:tc>
        <w:tc>
          <w:tcPr>
            <w:tcW w:w="1310" w:type="dxa"/>
            <w:shd w:val="clear" w:color="auto" w:fill="EBE7F2"/>
            <w:vAlign w:val="center"/>
          </w:tcPr>
          <w:p w14:paraId="7A7E4064" w14:textId="2CAA2354" w:rsidR="00F554C9" w:rsidRPr="00BE2002" w:rsidRDefault="00F554C9" w:rsidP="00F554C9">
            <w:pPr>
              <w:pStyle w:val="Default"/>
              <w:rPr>
                <w:b/>
                <w:bCs/>
                <w:color w:val="5A0066"/>
                <w:spacing w:val="3"/>
                <w:sz w:val="22"/>
                <w:szCs w:val="22"/>
              </w:rPr>
            </w:pPr>
            <w:r w:rsidRPr="00BE2002">
              <w:rPr>
                <w:b/>
                <w:bCs/>
                <w:color w:val="5A0066"/>
                <w:spacing w:val="3"/>
                <w:sz w:val="22"/>
                <w:szCs w:val="22"/>
              </w:rPr>
              <w:t>All documents published at the same time</w:t>
            </w:r>
          </w:p>
        </w:tc>
        <w:tc>
          <w:tcPr>
            <w:tcW w:w="1310" w:type="dxa"/>
            <w:shd w:val="clear" w:color="auto" w:fill="EBE7F2"/>
            <w:vAlign w:val="center"/>
          </w:tcPr>
          <w:p w14:paraId="0527C004" w14:textId="204A2B31" w:rsidR="00F554C9" w:rsidRPr="00BE2002" w:rsidRDefault="00F554C9" w:rsidP="00F554C9">
            <w:pPr>
              <w:pStyle w:val="Default"/>
              <w:rPr>
                <w:b/>
                <w:bCs/>
                <w:color w:val="5A0066"/>
                <w:spacing w:val="3"/>
                <w:sz w:val="22"/>
                <w:szCs w:val="22"/>
              </w:rPr>
            </w:pPr>
            <w:r w:rsidRPr="00BE2002">
              <w:rPr>
                <w:b/>
                <w:bCs/>
                <w:color w:val="5A0066"/>
                <w:spacing w:val="3"/>
                <w:sz w:val="22"/>
                <w:szCs w:val="22"/>
              </w:rPr>
              <w:t>Not all documents provided at the same time</w:t>
            </w:r>
          </w:p>
        </w:tc>
        <w:tc>
          <w:tcPr>
            <w:tcW w:w="2188" w:type="dxa"/>
            <w:vMerge/>
            <w:shd w:val="clear" w:color="auto" w:fill="5A0066"/>
            <w:vAlign w:val="center"/>
          </w:tcPr>
          <w:p w14:paraId="60FE1F5C" w14:textId="77777777" w:rsidR="00F554C9" w:rsidRPr="00D61CCB" w:rsidRDefault="00F554C9" w:rsidP="00F554C9">
            <w:pPr>
              <w:widowControl w:val="0"/>
              <w:autoSpaceDE w:val="0"/>
              <w:autoSpaceDN w:val="0"/>
              <w:adjustRightInd w:val="0"/>
              <w:spacing w:line="224" w:lineRule="exact"/>
              <w:ind w:right="-20"/>
              <w:rPr>
                <w:rFonts w:ascii="Arial" w:hAnsi="Arial" w:cs="Arial"/>
                <w:b/>
                <w:bCs/>
                <w:color w:val="FFFFFF"/>
              </w:rPr>
            </w:pPr>
          </w:p>
        </w:tc>
        <w:tc>
          <w:tcPr>
            <w:tcW w:w="2187" w:type="dxa"/>
            <w:vMerge/>
            <w:shd w:val="clear" w:color="auto" w:fill="5A0066"/>
            <w:vAlign w:val="center"/>
          </w:tcPr>
          <w:p w14:paraId="1005F852" w14:textId="77777777" w:rsidR="00F554C9" w:rsidRPr="00D61CCB" w:rsidRDefault="00F554C9" w:rsidP="00F554C9">
            <w:pPr>
              <w:widowControl w:val="0"/>
              <w:autoSpaceDE w:val="0"/>
              <w:autoSpaceDN w:val="0"/>
              <w:adjustRightInd w:val="0"/>
              <w:spacing w:line="224" w:lineRule="exact"/>
              <w:ind w:right="-20"/>
              <w:rPr>
                <w:rFonts w:ascii="Arial" w:hAnsi="Arial" w:cs="Arial"/>
                <w:b/>
                <w:bCs/>
                <w:color w:val="FFFFFF"/>
                <w:spacing w:val="-1"/>
              </w:rPr>
            </w:pPr>
          </w:p>
        </w:tc>
      </w:tr>
      <w:tr w:rsidR="00F554C9" w:rsidRPr="00B21C8F" w14:paraId="0FED8443" w14:textId="298CF99B" w:rsidTr="00BE2002">
        <w:tc>
          <w:tcPr>
            <w:tcW w:w="13948" w:type="dxa"/>
            <w:gridSpan w:val="8"/>
            <w:shd w:val="clear" w:color="auto" w:fill="auto"/>
          </w:tcPr>
          <w:p w14:paraId="379EC6C7" w14:textId="77777777" w:rsidR="00DE0B7E" w:rsidRPr="00D61CCB" w:rsidRDefault="00DE0B7E" w:rsidP="00F554C9">
            <w:pPr>
              <w:pStyle w:val="Default"/>
              <w:rPr>
                <w:sz w:val="22"/>
                <w:szCs w:val="22"/>
              </w:rPr>
            </w:pPr>
          </w:p>
          <w:p w14:paraId="29589213" w14:textId="4845C4E1" w:rsidR="00F554C9" w:rsidRPr="00BE2002" w:rsidRDefault="00F554C9" w:rsidP="00F554C9">
            <w:pPr>
              <w:pStyle w:val="Default"/>
              <w:rPr>
                <w:b/>
                <w:bCs/>
                <w:color w:val="5A0066"/>
                <w:sz w:val="22"/>
                <w:szCs w:val="22"/>
              </w:rPr>
            </w:pPr>
            <w:r w:rsidRPr="00BE2002">
              <w:rPr>
                <w:b/>
                <w:bCs/>
                <w:color w:val="5A0066"/>
                <w:sz w:val="22"/>
                <w:szCs w:val="22"/>
              </w:rPr>
              <w:t>Competitive Tendering Procedure</w:t>
            </w:r>
            <w:r w:rsidR="00F067D4" w:rsidRPr="00BE2002">
              <w:rPr>
                <w:b/>
                <w:bCs/>
                <w:color w:val="5A0066"/>
                <w:sz w:val="22"/>
                <w:szCs w:val="22"/>
              </w:rPr>
              <w:t xml:space="preserve"> (open/competitive flexible)</w:t>
            </w:r>
          </w:p>
          <w:p w14:paraId="205084A7" w14:textId="03D0669F" w:rsidR="00DE0B7E" w:rsidRPr="00D61CCB" w:rsidRDefault="00DE0B7E" w:rsidP="00F554C9">
            <w:pPr>
              <w:pStyle w:val="Default"/>
              <w:rPr>
                <w:sz w:val="22"/>
                <w:szCs w:val="22"/>
              </w:rPr>
            </w:pPr>
          </w:p>
        </w:tc>
      </w:tr>
      <w:tr w:rsidR="00F554C9" w:rsidRPr="00B21C8F" w14:paraId="09B4A0EF" w14:textId="4BFDD03C" w:rsidTr="003F0223">
        <w:tc>
          <w:tcPr>
            <w:tcW w:w="2167" w:type="dxa"/>
          </w:tcPr>
          <w:p w14:paraId="30B0DAB2" w14:textId="77777777" w:rsidR="00F554C9" w:rsidRPr="00D61CCB" w:rsidRDefault="00F554C9" w:rsidP="00F554C9">
            <w:pPr>
              <w:pStyle w:val="Default"/>
              <w:rPr>
                <w:sz w:val="22"/>
                <w:szCs w:val="22"/>
              </w:rPr>
            </w:pPr>
            <w:r w:rsidRPr="00D61CCB">
              <w:rPr>
                <w:sz w:val="22"/>
                <w:szCs w:val="22"/>
              </w:rPr>
              <w:t>Despatch of contract</w:t>
            </w:r>
          </w:p>
          <w:p w14:paraId="25F7B244" w14:textId="0BC2B9A1" w:rsidR="00F554C9" w:rsidRPr="00D61CCB" w:rsidRDefault="00F554C9" w:rsidP="00F554C9">
            <w:pPr>
              <w:pStyle w:val="Default"/>
              <w:rPr>
                <w:sz w:val="22"/>
                <w:szCs w:val="22"/>
              </w:rPr>
            </w:pPr>
            <w:r w:rsidRPr="00D61CCB">
              <w:rPr>
                <w:sz w:val="22"/>
                <w:szCs w:val="22"/>
              </w:rPr>
              <w:t>notice to receipt of responses</w:t>
            </w:r>
          </w:p>
        </w:tc>
        <w:tc>
          <w:tcPr>
            <w:tcW w:w="1310" w:type="dxa"/>
          </w:tcPr>
          <w:p w14:paraId="1D9AA303" w14:textId="75803E2A" w:rsidR="00F554C9" w:rsidRPr="00D61CCB" w:rsidRDefault="00F554C9" w:rsidP="00F554C9">
            <w:pPr>
              <w:pStyle w:val="Default"/>
              <w:rPr>
                <w:sz w:val="22"/>
                <w:szCs w:val="22"/>
              </w:rPr>
            </w:pPr>
            <w:r w:rsidRPr="00D61CCB">
              <w:rPr>
                <w:sz w:val="22"/>
                <w:szCs w:val="22"/>
              </w:rPr>
              <w:t>3</w:t>
            </w:r>
            <w:r w:rsidR="00F067D4" w:rsidRPr="00D61CCB">
              <w:rPr>
                <w:sz w:val="22"/>
                <w:szCs w:val="22"/>
              </w:rPr>
              <w:t>0</w:t>
            </w:r>
            <w:r w:rsidRPr="00D61CCB">
              <w:rPr>
                <w:sz w:val="22"/>
                <w:szCs w:val="22"/>
              </w:rPr>
              <w:t xml:space="preserve"> days</w:t>
            </w:r>
          </w:p>
        </w:tc>
        <w:tc>
          <w:tcPr>
            <w:tcW w:w="2330" w:type="dxa"/>
          </w:tcPr>
          <w:p w14:paraId="2A7EAFD3" w14:textId="54833DE2" w:rsidR="00F554C9" w:rsidRPr="00D61CCB" w:rsidRDefault="00F554C9" w:rsidP="00F554C9">
            <w:pPr>
              <w:pStyle w:val="Default"/>
              <w:rPr>
                <w:sz w:val="22"/>
                <w:szCs w:val="22"/>
              </w:rPr>
            </w:pPr>
            <w:r w:rsidRPr="00D61CCB">
              <w:rPr>
                <w:sz w:val="22"/>
                <w:szCs w:val="22"/>
              </w:rPr>
              <w:t>3</w:t>
            </w:r>
            <w:r w:rsidR="00F067D4" w:rsidRPr="00D61CCB">
              <w:rPr>
                <w:sz w:val="22"/>
                <w:szCs w:val="22"/>
              </w:rPr>
              <w:t>5</w:t>
            </w:r>
            <w:r w:rsidRPr="00D61CCB">
              <w:rPr>
                <w:sz w:val="22"/>
                <w:szCs w:val="22"/>
              </w:rPr>
              <w:t xml:space="preserve"> days</w:t>
            </w:r>
          </w:p>
        </w:tc>
        <w:tc>
          <w:tcPr>
            <w:tcW w:w="1146" w:type="dxa"/>
          </w:tcPr>
          <w:p w14:paraId="592BF250" w14:textId="7AF4CC59" w:rsidR="00F554C9" w:rsidRPr="00D61CCB" w:rsidRDefault="00F554C9" w:rsidP="00F554C9">
            <w:pPr>
              <w:pStyle w:val="Default"/>
              <w:rPr>
                <w:sz w:val="22"/>
                <w:szCs w:val="22"/>
              </w:rPr>
            </w:pPr>
            <w:r w:rsidRPr="00D61CCB">
              <w:rPr>
                <w:sz w:val="22"/>
                <w:szCs w:val="22"/>
              </w:rPr>
              <w:t>N/A</w:t>
            </w:r>
          </w:p>
        </w:tc>
        <w:tc>
          <w:tcPr>
            <w:tcW w:w="1310" w:type="dxa"/>
          </w:tcPr>
          <w:p w14:paraId="1835AD53" w14:textId="4B20E25A" w:rsidR="00F554C9" w:rsidRPr="00D61CCB" w:rsidRDefault="00F554C9" w:rsidP="00F554C9">
            <w:pPr>
              <w:pStyle w:val="Default"/>
              <w:rPr>
                <w:sz w:val="22"/>
                <w:szCs w:val="22"/>
              </w:rPr>
            </w:pPr>
            <w:r w:rsidRPr="00D61CCB">
              <w:rPr>
                <w:sz w:val="22"/>
                <w:szCs w:val="22"/>
              </w:rPr>
              <w:t>25 days</w:t>
            </w:r>
          </w:p>
        </w:tc>
        <w:tc>
          <w:tcPr>
            <w:tcW w:w="1310" w:type="dxa"/>
          </w:tcPr>
          <w:p w14:paraId="05FBDDE7" w14:textId="5E8C66A3" w:rsidR="00F554C9" w:rsidRPr="00D61CCB" w:rsidRDefault="00F554C9" w:rsidP="00F554C9">
            <w:pPr>
              <w:pStyle w:val="Default"/>
              <w:rPr>
                <w:sz w:val="22"/>
                <w:szCs w:val="22"/>
              </w:rPr>
            </w:pPr>
            <w:r w:rsidRPr="00D61CCB">
              <w:rPr>
                <w:sz w:val="22"/>
                <w:szCs w:val="22"/>
              </w:rPr>
              <w:t>30 days</w:t>
            </w:r>
          </w:p>
        </w:tc>
        <w:tc>
          <w:tcPr>
            <w:tcW w:w="2188" w:type="dxa"/>
          </w:tcPr>
          <w:p w14:paraId="2A7C9D8B" w14:textId="55B22CDF" w:rsidR="00F554C9" w:rsidRPr="00D61CCB" w:rsidRDefault="00F554C9" w:rsidP="00F554C9">
            <w:pPr>
              <w:pStyle w:val="Default"/>
              <w:rPr>
                <w:sz w:val="22"/>
                <w:szCs w:val="22"/>
              </w:rPr>
            </w:pPr>
            <w:r w:rsidRPr="00D61CCB">
              <w:rPr>
                <w:sz w:val="22"/>
                <w:szCs w:val="22"/>
              </w:rPr>
              <w:t>10 days</w:t>
            </w:r>
          </w:p>
        </w:tc>
        <w:tc>
          <w:tcPr>
            <w:tcW w:w="2187" w:type="dxa"/>
          </w:tcPr>
          <w:p w14:paraId="632A7845" w14:textId="5E3C4A33" w:rsidR="00F554C9" w:rsidRPr="00D61CCB" w:rsidRDefault="00F554C9" w:rsidP="00F554C9">
            <w:pPr>
              <w:pStyle w:val="Default"/>
              <w:rPr>
                <w:sz w:val="22"/>
                <w:szCs w:val="22"/>
              </w:rPr>
            </w:pPr>
            <w:r w:rsidRPr="00D61CCB">
              <w:rPr>
                <w:sz w:val="22"/>
                <w:szCs w:val="22"/>
              </w:rPr>
              <w:t>10 days</w:t>
            </w:r>
          </w:p>
        </w:tc>
      </w:tr>
      <w:tr w:rsidR="00F554C9" w:rsidRPr="00B21C8F" w14:paraId="68CB4388" w14:textId="77777777" w:rsidTr="003F0223">
        <w:tc>
          <w:tcPr>
            <w:tcW w:w="2167" w:type="dxa"/>
          </w:tcPr>
          <w:p w14:paraId="54D0A041" w14:textId="011DD366" w:rsidR="00F554C9" w:rsidRPr="00D61CCB" w:rsidRDefault="00F554C9" w:rsidP="00F554C9">
            <w:pPr>
              <w:pStyle w:val="Default"/>
              <w:rPr>
                <w:sz w:val="22"/>
                <w:szCs w:val="22"/>
              </w:rPr>
            </w:pPr>
            <w:r w:rsidRPr="00D61CCB">
              <w:rPr>
                <w:sz w:val="22"/>
                <w:szCs w:val="22"/>
              </w:rPr>
              <w:t>Standstill</w:t>
            </w:r>
          </w:p>
        </w:tc>
        <w:tc>
          <w:tcPr>
            <w:tcW w:w="3640" w:type="dxa"/>
            <w:gridSpan w:val="2"/>
          </w:tcPr>
          <w:p w14:paraId="62A0C829" w14:textId="1DE3719A" w:rsidR="00F554C9" w:rsidRPr="00D61CCB" w:rsidRDefault="00F554C9" w:rsidP="00F554C9">
            <w:pPr>
              <w:pStyle w:val="Default"/>
              <w:rPr>
                <w:sz w:val="22"/>
                <w:szCs w:val="22"/>
              </w:rPr>
            </w:pPr>
            <w:r w:rsidRPr="00D61CCB">
              <w:rPr>
                <w:sz w:val="22"/>
                <w:szCs w:val="22"/>
              </w:rPr>
              <w:t>8 working days</w:t>
            </w:r>
            <w:r w:rsidR="00DE0B7E" w:rsidRPr="00D61CCB">
              <w:rPr>
                <w:sz w:val="22"/>
                <w:szCs w:val="22"/>
              </w:rPr>
              <w:t xml:space="preserve"> beginning with the date of publication of the Contract Award Notice to FTS</w:t>
            </w:r>
          </w:p>
        </w:tc>
        <w:tc>
          <w:tcPr>
            <w:tcW w:w="1146" w:type="dxa"/>
          </w:tcPr>
          <w:p w14:paraId="4D2BB1F9" w14:textId="77777777" w:rsidR="00F554C9" w:rsidRPr="00D61CCB" w:rsidRDefault="00F554C9" w:rsidP="00F554C9">
            <w:pPr>
              <w:pStyle w:val="Default"/>
              <w:rPr>
                <w:sz w:val="22"/>
                <w:szCs w:val="22"/>
              </w:rPr>
            </w:pPr>
          </w:p>
        </w:tc>
        <w:tc>
          <w:tcPr>
            <w:tcW w:w="2620" w:type="dxa"/>
            <w:gridSpan w:val="2"/>
          </w:tcPr>
          <w:p w14:paraId="20577892" w14:textId="77777777" w:rsidR="00F554C9" w:rsidRPr="00D61CCB" w:rsidRDefault="00F554C9" w:rsidP="00F554C9">
            <w:pPr>
              <w:pStyle w:val="Default"/>
              <w:rPr>
                <w:sz w:val="22"/>
                <w:szCs w:val="22"/>
              </w:rPr>
            </w:pPr>
          </w:p>
        </w:tc>
        <w:tc>
          <w:tcPr>
            <w:tcW w:w="2188" w:type="dxa"/>
          </w:tcPr>
          <w:p w14:paraId="56B94E15" w14:textId="77777777" w:rsidR="00F554C9" w:rsidRPr="00D61CCB" w:rsidRDefault="00F554C9" w:rsidP="00F554C9">
            <w:pPr>
              <w:pStyle w:val="Default"/>
              <w:rPr>
                <w:sz w:val="22"/>
                <w:szCs w:val="22"/>
              </w:rPr>
            </w:pPr>
          </w:p>
        </w:tc>
        <w:tc>
          <w:tcPr>
            <w:tcW w:w="2187" w:type="dxa"/>
          </w:tcPr>
          <w:p w14:paraId="1DF55BB0" w14:textId="77777777" w:rsidR="00F554C9" w:rsidRPr="00D61CCB" w:rsidRDefault="00F554C9" w:rsidP="00F554C9">
            <w:pPr>
              <w:pStyle w:val="Default"/>
              <w:rPr>
                <w:sz w:val="22"/>
                <w:szCs w:val="22"/>
              </w:rPr>
            </w:pPr>
          </w:p>
        </w:tc>
      </w:tr>
    </w:tbl>
    <w:p w14:paraId="06D9FDA4" w14:textId="77777777" w:rsidR="00FB3B6D" w:rsidRPr="00D61CCB" w:rsidRDefault="00FB3B6D" w:rsidP="00A62B83">
      <w:pPr>
        <w:pStyle w:val="Default"/>
        <w:rPr>
          <w:sz w:val="22"/>
          <w:szCs w:val="22"/>
        </w:rPr>
      </w:pPr>
    </w:p>
    <w:p w14:paraId="4F01350B" w14:textId="11D379EA" w:rsidR="00374D64" w:rsidRPr="00D61CCB" w:rsidRDefault="00F554C9" w:rsidP="00DE0B7E">
      <w:pPr>
        <w:pStyle w:val="Default"/>
        <w:jc w:val="both"/>
      </w:pPr>
      <w:r w:rsidRPr="00D61CCB">
        <w:t>Where there are multiple tendering rounds, it is expected that the minimum tendering period will apply to each tendering round, unless the contracting authority considers further tenders to simply be updates to previously submitted tenders (for example as an outcome of negotiations). In this case it is expected that a reasonable time limit is set, which is the same for all suppliers, having regard to the factors set out in section 54(1).</w:t>
      </w:r>
    </w:p>
    <w:p w14:paraId="7D431DB9" w14:textId="77777777" w:rsidR="00DE0B7E" w:rsidRPr="00D61CCB" w:rsidRDefault="00DE0B7E" w:rsidP="00DE0B7E">
      <w:pPr>
        <w:pStyle w:val="Default"/>
        <w:jc w:val="both"/>
      </w:pPr>
    </w:p>
    <w:p w14:paraId="68E23A3C" w14:textId="79E07FB0" w:rsidR="005E14DB" w:rsidRDefault="00DE0B7E" w:rsidP="00D61CCB">
      <w:pPr>
        <w:pStyle w:val="Default"/>
        <w:jc w:val="both"/>
      </w:pPr>
      <w:r w:rsidRPr="00D61CCB">
        <w:t xml:space="preserve">* </w:t>
      </w:r>
      <w:r w:rsidR="00996DC1" w:rsidRPr="00D61CCB">
        <w:t>There</w:t>
      </w:r>
      <w:r w:rsidRPr="00D61CCB">
        <w:t xml:space="preserve"> are certain specific instances where timescales can be reduced for sub-central contacting authorities, these are (1) where the contract is subject to a negotiated tendering period; and (2) where tenders may only be submitted by preselected suppliers. </w:t>
      </w:r>
    </w:p>
    <w:p w14:paraId="5E26FDC1" w14:textId="77777777" w:rsidR="004F0502" w:rsidRDefault="004F0502">
      <w:pPr>
        <w:rPr>
          <w:sz w:val="24"/>
          <w:szCs w:val="24"/>
        </w:rPr>
      </w:pPr>
    </w:p>
    <w:p w14:paraId="18E1C728" w14:textId="77777777" w:rsidR="004F0502" w:rsidRPr="00A62B83" w:rsidRDefault="004F0502">
      <w:pPr>
        <w:rPr>
          <w:sz w:val="24"/>
          <w:szCs w:val="24"/>
        </w:rPr>
      </w:pPr>
    </w:p>
    <w:sectPr w:rsidR="004F0502" w:rsidRPr="00A62B83" w:rsidSect="00A62B83">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8DAB" w14:textId="77777777" w:rsidR="00DE71B9" w:rsidRDefault="00DE71B9" w:rsidP="00FB3B6D">
      <w:pPr>
        <w:spacing w:after="0" w:line="240" w:lineRule="auto"/>
      </w:pPr>
      <w:r>
        <w:separator/>
      </w:r>
    </w:p>
  </w:endnote>
  <w:endnote w:type="continuationSeparator" w:id="0">
    <w:p w14:paraId="252617B1" w14:textId="77777777" w:rsidR="00DE71B9" w:rsidRDefault="00DE71B9" w:rsidP="00FB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0A07" w14:textId="77777777" w:rsidR="00881F0A" w:rsidRDefault="00881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B482" w14:textId="77777777" w:rsidR="00881F0A" w:rsidRDefault="00881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D190" w14:textId="77777777" w:rsidR="00881F0A" w:rsidRDefault="00881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2F36A" w14:textId="77777777" w:rsidR="00DE71B9" w:rsidRDefault="00DE71B9" w:rsidP="00FB3B6D">
      <w:pPr>
        <w:spacing w:after="0" w:line="240" w:lineRule="auto"/>
      </w:pPr>
      <w:r>
        <w:separator/>
      </w:r>
    </w:p>
  </w:footnote>
  <w:footnote w:type="continuationSeparator" w:id="0">
    <w:p w14:paraId="795E4324" w14:textId="77777777" w:rsidR="00DE71B9" w:rsidRDefault="00DE71B9" w:rsidP="00FB3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A901" w14:textId="77777777" w:rsidR="00881F0A" w:rsidRDefault="00881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4269F" w14:textId="77777777" w:rsidR="00996DC1" w:rsidRPr="00FA3174" w:rsidRDefault="00000000" w:rsidP="00996DC1">
    <w:pPr>
      <w:pStyle w:val="Header"/>
      <w:rPr>
        <w:rFonts w:ascii="Arial" w:hAnsi="Arial" w:cs="Arial"/>
        <w:sz w:val="20"/>
        <w:szCs w:val="18"/>
      </w:rPr>
    </w:pPr>
    <w:hyperlink r:id="rId1" w:history="1">
      <w:r w:rsidR="00996DC1" w:rsidRPr="00FA3174">
        <w:rPr>
          <w:rStyle w:val="Hyperlink"/>
          <w:rFonts w:ascii="Arial" w:hAnsi="Arial" w:cs="Arial"/>
          <w:sz w:val="20"/>
          <w:szCs w:val="18"/>
        </w:rPr>
        <w:t>www.procurementportal.com</w:t>
      </w:r>
    </w:hyperlink>
  </w:p>
  <w:p w14:paraId="1C3A9D05" w14:textId="77777777" w:rsidR="00996DC1" w:rsidRPr="00FA3174" w:rsidRDefault="00996DC1" w:rsidP="00996DC1">
    <w:pPr>
      <w:pStyle w:val="Header"/>
      <w:rPr>
        <w:rFonts w:ascii="Arial" w:hAnsi="Arial" w:cs="Arial"/>
        <w:sz w:val="20"/>
        <w:szCs w:val="18"/>
      </w:rPr>
    </w:pPr>
    <w:r w:rsidRPr="00FA3174">
      <w:rPr>
        <w:rFonts w:ascii="Arial" w:hAnsi="Arial" w:cs="Arial"/>
        <w:sz w:val="20"/>
        <w:szCs w:val="18"/>
      </w:rPr>
      <w:t>September 2024</w:t>
    </w:r>
  </w:p>
  <w:p w14:paraId="098A722C" w14:textId="381A7981" w:rsidR="009922B3" w:rsidRPr="00996DC1" w:rsidRDefault="009922B3" w:rsidP="00996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483F" w14:textId="77777777" w:rsidR="00881F0A" w:rsidRDefault="00881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0A25"/>
    <w:multiLevelType w:val="hybridMultilevel"/>
    <w:tmpl w:val="43DA8132"/>
    <w:lvl w:ilvl="0" w:tplc="03727A4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40594"/>
    <w:multiLevelType w:val="hybridMultilevel"/>
    <w:tmpl w:val="AA6EB598"/>
    <w:lvl w:ilvl="0" w:tplc="7CAEB498">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F173D"/>
    <w:multiLevelType w:val="hybridMultilevel"/>
    <w:tmpl w:val="797035AA"/>
    <w:lvl w:ilvl="0" w:tplc="BB76371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269419">
    <w:abstractNumId w:val="2"/>
  </w:num>
  <w:num w:numId="2" w16cid:durableId="2139834911">
    <w:abstractNumId w:val="1"/>
  </w:num>
  <w:num w:numId="3" w16cid:durableId="137619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83"/>
    <w:rsid w:val="00000D0A"/>
    <w:rsid w:val="00002836"/>
    <w:rsid w:val="001620B5"/>
    <w:rsid w:val="002B657B"/>
    <w:rsid w:val="00374D64"/>
    <w:rsid w:val="003F0223"/>
    <w:rsid w:val="00433BCD"/>
    <w:rsid w:val="00467954"/>
    <w:rsid w:val="00471DAD"/>
    <w:rsid w:val="004D3F30"/>
    <w:rsid w:val="004F0502"/>
    <w:rsid w:val="00545D93"/>
    <w:rsid w:val="005836FD"/>
    <w:rsid w:val="005B1C4D"/>
    <w:rsid w:val="005E14DB"/>
    <w:rsid w:val="00616010"/>
    <w:rsid w:val="00674FBD"/>
    <w:rsid w:val="006D3D6D"/>
    <w:rsid w:val="00714373"/>
    <w:rsid w:val="00732057"/>
    <w:rsid w:val="00741CCE"/>
    <w:rsid w:val="007A4CEF"/>
    <w:rsid w:val="008171B7"/>
    <w:rsid w:val="00881F0A"/>
    <w:rsid w:val="0089077F"/>
    <w:rsid w:val="00965D75"/>
    <w:rsid w:val="009922B3"/>
    <w:rsid w:val="00996DC1"/>
    <w:rsid w:val="009A7CA3"/>
    <w:rsid w:val="009B3B39"/>
    <w:rsid w:val="00A37611"/>
    <w:rsid w:val="00A56BA8"/>
    <w:rsid w:val="00A62B83"/>
    <w:rsid w:val="00B045A6"/>
    <w:rsid w:val="00B21C8F"/>
    <w:rsid w:val="00B84038"/>
    <w:rsid w:val="00BD1B38"/>
    <w:rsid w:val="00BE2002"/>
    <w:rsid w:val="00C46ED3"/>
    <w:rsid w:val="00C63E07"/>
    <w:rsid w:val="00CC3B4E"/>
    <w:rsid w:val="00CF62BE"/>
    <w:rsid w:val="00D61CCB"/>
    <w:rsid w:val="00DB506D"/>
    <w:rsid w:val="00DC54B4"/>
    <w:rsid w:val="00DE0B7E"/>
    <w:rsid w:val="00DE71B9"/>
    <w:rsid w:val="00E42C9A"/>
    <w:rsid w:val="00E52C36"/>
    <w:rsid w:val="00E6585D"/>
    <w:rsid w:val="00EE58F6"/>
    <w:rsid w:val="00F067D4"/>
    <w:rsid w:val="00F554C9"/>
    <w:rsid w:val="00FB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52B5"/>
  <w15:chartTrackingRefBased/>
  <w15:docId w15:val="{AA5D8DC4-E096-440F-A24A-373859C2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2B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B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B6D"/>
  </w:style>
  <w:style w:type="paragraph" w:styleId="Footer">
    <w:name w:val="footer"/>
    <w:basedOn w:val="Normal"/>
    <w:link w:val="FooterChar"/>
    <w:uiPriority w:val="99"/>
    <w:unhideWhenUsed/>
    <w:rsid w:val="00FB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B6D"/>
  </w:style>
  <w:style w:type="paragraph" w:styleId="Revision">
    <w:name w:val="Revision"/>
    <w:hidden/>
    <w:uiPriority w:val="99"/>
    <w:semiHidden/>
    <w:rsid w:val="00FB3B6D"/>
    <w:pPr>
      <w:spacing w:after="0" w:line="240" w:lineRule="auto"/>
    </w:pPr>
  </w:style>
  <w:style w:type="table" w:styleId="TableGrid">
    <w:name w:val="Table Grid"/>
    <w:basedOn w:val="TableNormal"/>
    <w:uiPriority w:val="39"/>
    <w:rsid w:val="00FB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4C9"/>
    <w:rPr>
      <w:color w:val="0563C1" w:themeColor="hyperlink"/>
      <w:u w:val="single"/>
    </w:rPr>
  </w:style>
  <w:style w:type="character" w:styleId="UnresolvedMention">
    <w:name w:val="Unresolved Mention"/>
    <w:basedOn w:val="DefaultParagraphFont"/>
    <w:uiPriority w:val="99"/>
    <w:semiHidden/>
    <w:unhideWhenUsed/>
    <w:rsid w:val="00F5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media/668278a3c7f64e234209019e/Guidance-Time-Periods-FINALv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23/54/section/54/enacte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procurement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CLIENTDMS!749660223.1</documentid>
  <senderid>CJBJ</senderid>
  <senderemail>JENNY.BERESFORD-JONES@MILLS-REEVE.COM</senderemail>
  <lastmodified>2024-09-19T19:00:00.0000000+01:00</lastmodified>
  <database>CLIENTDMS</database>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6B804B2082EA45B7CDF0E316686D8E" ma:contentTypeVersion="8" ma:contentTypeDescription="Create a new document." ma:contentTypeScope="" ma:versionID="68cfe0cc7e5bc694dab155f040c5869a">
  <xsd:schema xmlns:xsd="http://www.w3.org/2001/XMLSchema" xmlns:xs="http://www.w3.org/2001/XMLSchema" xmlns:p="http://schemas.microsoft.com/office/2006/metadata/properties" xmlns:ns2="32a35370-2228-4ad8-99cd-b875dd921145" xmlns:ns3="628b1e7e-47d7-46cd-8a2d-82922afbf842" targetNamespace="http://schemas.microsoft.com/office/2006/metadata/properties" ma:root="true" ma:fieldsID="ce3722c5812da4c78d4ebfb4c482fec8" ns2:_="" ns3:_="">
    <xsd:import namespace="32a35370-2228-4ad8-99cd-b875dd921145"/>
    <xsd:import namespace="628b1e7e-47d7-46cd-8a2d-82922afbf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35370-2228-4ad8-99cd-b875dd921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b1e7e-47d7-46cd-8a2d-82922afbf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2B303-1B73-4415-BBC4-8635216896D2}">
  <ds:schemaRefs>
    <ds:schemaRef ds:uri="http://www.imanage.com/work/xmlschema"/>
  </ds:schemaRefs>
</ds:datastoreItem>
</file>

<file path=customXml/itemProps2.xml><?xml version="1.0" encoding="utf-8"?>
<ds:datastoreItem xmlns:ds="http://schemas.openxmlformats.org/officeDocument/2006/customXml" ds:itemID="{528FF491-33D1-4C1C-9A14-0373107DF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01899-540C-4403-80B1-07BF98C27286}">
  <ds:schemaRefs>
    <ds:schemaRef ds:uri="http://schemas.microsoft.com/sharepoint/v3/contenttype/forms"/>
  </ds:schemaRefs>
</ds:datastoreItem>
</file>

<file path=customXml/itemProps4.xml><?xml version="1.0" encoding="utf-8"?>
<ds:datastoreItem xmlns:ds="http://schemas.openxmlformats.org/officeDocument/2006/customXml" ds:itemID="{DDD243CB-8EF7-4FD6-92A5-BE63B36E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35370-2228-4ad8-99cd-b875dd921145"/>
    <ds:schemaRef ds:uri="628b1e7e-47d7-46cd-8a2d-82922afbf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2330</Characters>
  <Application>Microsoft Office Word</Application>
  <DocSecurity>0</DocSecurity>
  <Lines>122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Stober</dc:creator>
  <cp:keywords/>
  <dc:description/>
  <cp:lastModifiedBy>Kris Arpon</cp:lastModifiedBy>
  <cp:revision>2</cp:revision>
  <dcterms:created xsi:type="dcterms:W3CDTF">2024-09-19T18:29:00Z</dcterms:created>
  <dcterms:modified xsi:type="dcterms:W3CDTF">2024-09-19T18:29:00Z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0x010100046B804B2082EA45B7CDF0E316686D8E</vt:lpwstr>
  </property>
  <property fmtid="{D5CDD505-2E9C-101B-9397-08002B2CF9AE}" pid="3" name="UCDocID">
    <vt:lpwstr>749660223_1</vt:lpwstr>
  </property>
</Properties>
</file>